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9 Project Brief</w:t>
      </w:r>
    </w:p>
    <w:p>
      <w:r>
        <w:rPr>
          <w:i/>
          <w:color w:val="333333"/>
          <w:sz w:val="28"/>
        </w:rPr>
        <w:t>Enterprise enrichment: factoids, HyDE, semantic cache</w:t>
      </w:r>
    </w:p>
    <w:p>
      <w:r>
        <w:rPr>
          <w:i/>
          <w:color w:val="333333"/>
          <w:sz w:val="22"/>
        </w:rPr>
        <w:t>Bootcamp theme: Towards Enterprise RAG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Add factoid and QA-pair derivative artifacts to a RAG corpus. Add HyDE on the query side. Build a semantic cache layer. Measure cumulative cost reduction and quality impact.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LLM API for factoid generation</w:t>
      </w:r>
    </w:p>
    <w:p>
      <w:pPr>
        <w:pStyle w:val="ListBullet"/>
      </w:pPr>
      <w:r>
        <w:rPr>
          <w:color w:val="333333"/>
          <w:sz w:val="22"/>
        </w:rPr>
        <w:t>Existing RAG stack</w:t>
      </w:r>
    </w:p>
    <w:p>
      <w:pPr>
        <w:pStyle w:val="ListBullet"/>
      </w:pPr>
      <w:r>
        <w:rPr>
          <w:color w:val="333333"/>
          <w:sz w:val="22"/>
        </w:rPr>
        <w:t>Cache vector store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Enriched corpus with factoids and QA pairs</w:t>
      </w:r>
    </w:p>
    <w:p>
      <w:pPr>
        <w:pStyle w:val="ListBullet"/>
      </w:pPr>
      <w:r>
        <w:rPr>
          <w:color w:val="333333"/>
          <w:sz w:val="22"/>
        </w:rPr>
        <w:t>HyDE pipeline integrated</w:t>
      </w:r>
    </w:p>
    <w:p>
      <w:pPr>
        <w:pStyle w:val="ListBullet"/>
      </w:pPr>
      <w:r>
        <w:rPr>
          <w:color w:val="333333"/>
          <w:sz w:val="22"/>
        </w:rPr>
        <w:t>Semantic cache with tuned threshold</w:t>
      </w:r>
    </w:p>
    <w:p>
      <w:pPr>
        <w:pStyle w:val="ListBullet"/>
      </w:pPr>
      <w:r>
        <w:rPr>
          <w:color w:val="333333"/>
          <w:sz w:val="22"/>
        </w:rPr>
        <w:t>Cost report: before vs after</w:t>
      </w:r>
    </w:p>
    <w:p>
      <w:pPr>
        <w:pStyle w:val="ListBullet"/>
      </w:pPr>
      <w:r>
        <w:rPr>
          <w:color w:val="333333"/>
          <w:sz w:val="22"/>
        </w:rPr>
        <w:t>Quality report on the same eval set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hard-negative mining and quantifying embedder improvement.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'week-09-submit'.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