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E2761"/>
          <w:sz w:val="44"/>
        </w:rPr>
        <w:t>Week 10 Project Brief</w:t>
      </w:r>
    </w:p>
    <w:p>
      <w:r>
        <w:rPr>
          <w:i/>
          <w:color w:val="333333"/>
          <w:sz w:val="28"/>
        </w:rPr>
        <w:t>Agentic RAG + Text-to-SQL on a real schema</w:t>
      </w:r>
    </w:p>
    <w:p>
      <w:r>
        <w:rPr>
          <w:i/>
          <w:color w:val="333333"/>
          <w:sz w:val="22"/>
        </w:rPr>
        <w:t>Bootcamp theme: Agentic RAG and Text2SQL | Due next Saturday | Instructor: Pavan R</w:t>
      </w:r>
    </w:p>
    <w:p>
      <w:pPr>
        <w:pBdr>
          <w:bottom w:val="single" w:sz="6" w:space="1" w:color="1E2761"/>
        </w:pBdr>
      </w:pPr>
    </w:p>
    <w:p>
      <w:r>
        <w:rPr>
          <w:b/>
          <w:color w:val="1E2761"/>
          <w:sz w:val="32"/>
        </w:rPr>
        <w:t>Project Summary</w:t>
      </w:r>
    </w:p>
    <w:p>
      <w:r>
        <w:rPr>
          <w:color w:val="333333"/>
          <w:sz w:val="22"/>
        </w:rPr>
        <w:t>Build an agentic RAG that includes a Text-to-SQL path for structured questions. Use MCP for tool exposure. Compare to static RAG on a mixed test set.</w:t>
      </w:r>
    </w:p>
    <w:p>
      <w:r>
        <w:rPr>
          <w:b/>
          <w:color w:val="1E2761"/>
          <w:sz w:val="32"/>
        </w:rPr>
        <w:t>Required Tools and Libraries</w:t>
      </w:r>
    </w:p>
    <w:p>
      <w:pPr>
        <w:pStyle w:val="ListBullet"/>
      </w:pPr>
      <w:r>
        <w:rPr>
          <w:color w:val="333333"/>
          <w:sz w:val="22"/>
        </w:rPr>
        <w:t>Google ADK or LangGraph</w:t>
      </w:r>
    </w:p>
    <w:p>
      <w:pPr>
        <w:pStyle w:val="ListBullet"/>
      </w:pPr>
      <w:r>
        <w:rPr>
          <w:color w:val="333333"/>
          <w:sz w:val="22"/>
        </w:rPr>
        <w:t>FastMCP</w:t>
      </w:r>
    </w:p>
    <w:p>
      <w:pPr>
        <w:pStyle w:val="ListBullet"/>
      </w:pPr>
      <w:r>
        <w:rPr>
          <w:color w:val="333333"/>
          <w:sz w:val="22"/>
        </w:rPr>
        <w:t>A sample SQL database</w:t>
      </w:r>
    </w:p>
    <w:p>
      <w:r>
        <w:rPr>
          <w:b/>
          <w:color w:val="1E2761"/>
          <w:sz w:val="32"/>
        </w:rPr>
        <w:t>Deliverables</w:t>
      </w:r>
    </w:p>
    <w:p>
      <w:pPr>
        <w:pStyle w:val="ListBullet"/>
      </w:pPr>
      <w:r>
        <w:rPr>
          <w:color w:val="333333"/>
          <w:sz w:val="22"/>
        </w:rPr>
        <w:t>Agentic loop with structured and unstructured tools</w:t>
      </w:r>
    </w:p>
    <w:p>
      <w:pPr>
        <w:pStyle w:val="ListBullet"/>
      </w:pPr>
      <w:r>
        <w:rPr>
          <w:color w:val="333333"/>
          <w:sz w:val="22"/>
        </w:rPr>
        <w:t>Text-to-SQL pipeline with schema retrieval</w:t>
      </w:r>
    </w:p>
    <w:p>
      <w:pPr>
        <w:pStyle w:val="ListBullet"/>
      </w:pPr>
      <w:r>
        <w:rPr>
          <w:color w:val="333333"/>
          <w:sz w:val="22"/>
        </w:rPr>
        <w:t>MCP tool server</w:t>
      </w:r>
    </w:p>
    <w:p>
      <w:pPr>
        <w:pStyle w:val="ListBullet"/>
      </w:pPr>
      <w:r>
        <w:rPr>
          <w:color w:val="333333"/>
          <w:sz w:val="22"/>
        </w:rPr>
        <w:t>Eval on 100 mixed questions</w:t>
      </w:r>
    </w:p>
    <w:p>
      <w:pPr>
        <w:pStyle w:val="ListBullet"/>
      </w:pPr>
      <w:r>
        <w:rPr>
          <w:color w:val="333333"/>
          <w:sz w:val="22"/>
        </w:rPr>
        <w:t>Cost-quality comparison vs static RAG</w:t>
      </w:r>
    </w:p>
    <w:p>
      <w:r>
        <w:rPr>
          <w:b/>
          <w:color w:val="1E2761"/>
          <w:sz w:val="32"/>
        </w:rPr>
        <w:t>Grading Rubric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456"/>
            <w:shd w:fill="1E2761"/>
          </w:tcPr>
          <w:p>
            <w:r/>
            <w:r>
              <w:rPr>
                <w:b/>
                <w:color w:val="FFFFFF"/>
                <w:sz w:val="22"/>
              </w:rPr>
              <w:t>Criterion</w:t>
            </w:r>
          </w:p>
        </w:tc>
        <w:tc>
          <w:tcPr>
            <w:tcW w:type="dxa" w:w="1152"/>
            <w:shd w:fill="1E2761"/>
          </w:tcPr>
          <w:p>
            <w:r/>
            <w:r>
              <w:rPr>
                <w:b/>
                <w:color w:val="FFFFFF"/>
                <w:sz w:val="22"/>
              </w:rPr>
              <w:t>Points</w:t>
            </w:r>
          </w:p>
        </w:tc>
        <w:tc>
          <w:tcPr>
            <w:tcW w:type="dxa" w:w="5760"/>
            <w:shd w:fill="1E2761"/>
          </w:tcPr>
          <w:p>
            <w:r/>
            <w:r>
              <w:rPr>
                <w:b/>
                <w:color w:val="FFFFFF"/>
                <w:sz w:val="22"/>
              </w:rPr>
              <w:t>Description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20"/>
              </w:rPr>
              <w:t>Correctness</w:t>
            </w:r>
          </w:p>
        </w:tc>
        <w:tc>
          <w:tcPr>
            <w:tcW w:type="dxa" w:w="1152"/>
          </w:tcPr>
          <w:p>
            <w:r/>
            <w:r>
              <w:rPr>
                <w:sz w:val="20"/>
              </w:rPr>
              <w:t>30</w:t>
            </w:r>
          </w:p>
        </w:tc>
        <w:tc>
          <w:tcPr>
            <w:tcW w:type="dxa" w:w="5760"/>
          </w:tcPr>
          <w:p>
            <w:r/>
            <w:r>
              <w:rPr>
                <w:sz w:val="20"/>
              </w:rPr>
              <w:t>Code runs as specified; results meet the bar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20"/>
              </w:rPr>
              <w:t>Engineering quality</w:t>
            </w:r>
          </w:p>
        </w:tc>
        <w:tc>
          <w:tcPr>
            <w:tcW w:type="dxa" w:w="1152"/>
          </w:tcPr>
          <w:p>
            <w:r/>
            <w:r>
              <w:rPr>
                <w:sz w:val="20"/>
              </w:rPr>
              <w:t>20</w:t>
            </w:r>
          </w:p>
        </w:tc>
        <w:tc>
          <w:tcPr>
            <w:tcW w:type="dxa" w:w="5760"/>
          </w:tcPr>
          <w:p>
            <w:r/>
            <w:r>
              <w:rPr>
                <w:sz w:val="20"/>
              </w:rPr>
              <w:t>Clean, readable, tested where it matters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20"/>
              </w:rPr>
              <w:t>Evaluation rigor</w:t>
            </w:r>
          </w:p>
        </w:tc>
        <w:tc>
          <w:tcPr>
            <w:tcW w:type="dxa" w:w="1152"/>
          </w:tcPr>
          <w:p>
            <w:r/>
            <w:r>
              <w:rPr>
                <w:sz w:val="20"/>
              </w:rPr>
              <w:t>20</w:t>
            </w:r>
          </w:p>
        </w:tc>
        <w:tc>
          <w:tcPr>
            <w:tcW w:type="dxa" w:w="5760"/>
          </w:tcPr>
          <w:p>
            <w:r/>
            <w:r>
              <w:rPr>
                <w:sz w:val="20"/>
              </w:rPr>
              <w:t>Eval design is honest; numbers are reproducible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20"/>
              </w:rPr>
              <w:t>Observability and reproducibility</w:t>
            </w:r>
          </w:p>
        </w:tc>
        <w:tc>
          <w:tcPr>
            <w:tcW w:type="dxa" w:w="1152"/>
          </w:tcPr>
          <w:p>
            <w:r/>
            <w:r>
              <w:rPr>
                <w:sz w:val="20"/>
              </w:rPr>
              <w:t>15</w:t>
            </w:r>
          </w:p>
        </w:tc>
        <w:tc>
          <w:tcPr>
            <w:tcW w:type="dxa" w:w="5760"/>
          </w:tcPr>
          <w:p>
            <w:r/>
            <w:r>
              <w:rPr>
                <w:sz w:val="20"/>
              </w:rPr>
              <w:t>README plus traces let a peer rerun in under 30 minutes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20"/>
              </w:rPr>
              <w:t>Written reflection</w:t>
            </w:r>
          </w:p>
        </w:tc>
        <w:tc>
          <w:tcPr>
            <w:tcW w:type="dxa" w:w="1152"/>
          </w:tcPr>
          <w:p>
            <w:r/>
            <w:r>
              <w:rPr>
                <w:sz w:val="20"/>
              </w:rPr>
              <w:t>15</w:t>
            </w:r>
          </w:p>
        </w:tc>
        <w:tc>
          <w:tcPr>
            <w:tcW w:type="dxa" w:w="5760"/>
          </w:tcPr>
          <w:p>
            <w:r/>
            <w:r>
              <w:rPr>
                <w:sz w:val="20"/>
              </w:rPr>
              <w:t>Tradeoffs explicit, failure cases owned</w:t>
            </w:r>
          </w:p>
        </w:tc>
      </w:tr>
    </w:tbl>
    <w:p>
      <w:r>
        <w:rPr>
          <w:color w:val="333333"/>
          <w:sz w:val="22"/>
        </w:rPr>
        <w:t>Bonus 5 points for adding a small CTE library and measuring SQL complexity reduction.</w:t>
      </w:r>
    </w:p>
    <w:p>
      <w:r>
        <w:rPr>
          <w:b/>
          <w:color w:val="1E2761"/>
          <w:sz w:val="32"/>
        </w:rPr>
        <w:t>Submission</w:t>
      </w:r>
    </w:p>
    <w:p>
      <w:pPr>
        <w:pStyle w:val="ListBullet"/>
      </w:pPr>
      <w:r>
        <w:rPr>
          <w:color w:val="333333"/>
          <w:sz w:val="22"/>
        </w:rPr>
        <w:t>Push to a private GitHub repo and add the TAs as collaborators.</w:t>
      </w:r>
    </w:p>
    <w:p>
      <w:pPr>
        <w:pStyle w:val="ListBullet"/>
      </w:pPr>
      <w:r>
        <w:rPr>
          <w:color w:val="333333"/>
          <w:sz w:val="22"/>
        </w:rPr>
        <w:t>Tag the submission commit 'week-10-submit'.</w:t>
      </w:r>
    </w:p>
    <w:p>
      <w:pPr>
        <w:pStyle w:val="ListBullet"/>
      </w:pPr>
      <w:r>
        <w:rPr>
          <w:color w:val="333333"/>
          <w:sz w:val="22"/>
        </w:rPr>
        <w:t>Post the repo link in the bootcamp Discord by Saturday 10 AM PT.</w:t>
      </w:r>
    </w:p>
    <w:sectPr w:rsidR="00FC693F" w:rsidRPr="0006063C" w:rsidSect="00034616">
      <w:footerReference w:type="default" r:id="rId9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333333"/>
        <w:sz w:val="18"/>
      </w:rPr>
      <w:t>© 2026 Proxiant Academy | info@proxiant.com | proxiant.ai/training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