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Quiz</w:t>
      </w:r>
    </w:p>
    <w:p>
      <w:r>
        <w:rPr>
          <w:i/>
          <w:color w:val="333333"/>
          <w:sz w:val="28"/>
        </w:rPr>
        <w:t>Introduction to Language Models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BM25 still beats dense retrieval primarily on:</w:t>
      </w:r>
    </w:p>
    <w:p>
      <w:pPr>
        <w:pStyle w:val="ListBullet"/>
      </w:pPr>
      <w:r>
        <w:rPr>
          <w:color w:val="333333"/>
          <w:sz w:val="22"/>
        </w:rPr>
        <w:t>A. Multi-hop questions</w:t>
      </w:r>
    </w:p>
    <w:p>
      <w:pPr>
        <w:pStyle w:val="ListBullet"/>
      </w:pPr>
      <w:r>
        <w:rPr>
          <w:color w:val="333333"/>
          <w:sz w:val="22"/>
        </w:rPr>
        <w:t>B. Keyword and rare-term queries</w:t>
      </w:r>
    </w:p>
    <w:p>
      <w:pPr>
        <w:pStyle w:val="ListBullet"/>
      </w:pPr>
      <w:r>
        <w:rPr>
          <w:color w:val="333333"/>
          <w:sz w:val="22"/>
        </w:rPr>
        <w:t>C. Conversational queries</w:t>
      </w:r>
    </w:p>
    <w:p>
      <w:pPr>
        <w:pStyle w:val="ListBullet"/>
      </w:pPr>
      <w:r>
        <w:rPr>
          <w:color w:val="333333"/>
          <w:sz w:val="22"/>
        </w:rPr>
        <w:t>D. Image queries</w:t>
      </w:r>
    </w:p>
    <w:p>
      <w:r>
        <w:rPr>
          <w:b/>
          <w:color w:val="1E2761"/>
          <w:sz w:val="26"/>
        </w:rPr>
        <w:t>Q2. In scaled dot-product attention, the scaling by sqrt(d) is used to:</w:t>
      </w:r>
    </w:p>
    <w:p>
      <w:pPr>
        <w:pStyle w:val="ListBullet"/>
      </w:pPr>
      <w:r>
        <w:rPr>
          <w:color w:val="333333"/>
          <w:sz w:val="22"/>
        </w:rPr>
        <w:t>A. Reduce memory</w:t>
      </w:r>
    </w:p>
    <w:p>
      <w:pPr>
        <w:pStyle w:val="ListBullet"/>
      </w:pPr>
      <w:r>
        <w:rPr>
          <w:color w:val="333333"/>
          <w:sz w:val="22"/>
        </w:rPr>
        <w:t>B. Keep softmax in a usable range as d grows</w:t>
      </w:r>
    </w:p>
    <w:p>
      <w:pPr>
        <w:pStyle w:val="ListBullet"/>
      </w:pPr>
      <w:r>
        <w:rPr>
          <w:color w:val="333333"/>
          <w:sz w:val="22"/>
        </w:rPr>
        <w:t>C. Improve convergence speed only</w:t>
      </w:r>
    </w:p>
    <w:p>
      <w:pPr>
        <w:pStyle w:val="ListBullet"/>
      </w:pPr>
      <w:r>
        <w:rPr>
          <w:color w:val="333333"/>
          <w:sz w:val="22"/>
        </w:rPr>
        <w:t>D. Enable causal masking</w:t>
      </w:r>
    </w:p>
    <w:p>
      <w:r>
        <w:rPr>
          <w:b/>
          <w:color w:val="1E2761"/>
          <w:sz w:val="26"/>
        </w:rPr>
        <w:t>Q3. Encoder models (BERT family) are best for:</w:t>
      </w:r>
    </w:p>
    <w:p>
      <w:pPr>
        <w:pStyle w:val="ListBullet"/>
      </w:pPr>
      <w:r>
        <w:rPr>
          <w:color w:val="333333"/>
          <w:sz w:val="22"/>
        </w:rPr>
        <w:t>A. Open-ended generation</w:t>
      </w:r>
    </w:p>
    <w:p>
      <w:pPr>
        <w:pStyle w:val="ListBullet"/>
      </w:pPr>
      <w:r>
        <w:rPr>
          <w:color w:val="333333"/>
          <w:sz w:val="22"/>
        </w:rPr>
        <w:t>B. Embeddings and classification</w:t>
      </w:r>
    </w:p>
    <w:p>
      <w:pPr>
        <w:pStyle w:val="ListBullet"/>
      </w:pPr>
      <w:r>
        <w:rPr>
          <w:color w:val="333333"/>
          <w:sz w:val="22"/>
        </w:rPr>
        <w:t>C. Image segmentation</w:t>
      </w:r>
    </w:p>
    <w:p>
      <w:pPr>
        <w:pStyle w:val="ListBullet"/>
      </w:pPr>
      <w:r>
        <w:rPr>
          <w:color w:val="333333"/>
          <w:sz w:val="22"/>
        </w:rPr>
        <w:t>D. Audio synthesis</w:t>
      </w:r>
    </w:p>
    <w:p>
      <w:r>
        <w:rPr>
          <w:b/>
          <w:color w:val="1E2761"/>
          <w:sz w:val="26"/>
        </w:rPr>
        <w:t>Q4. HNSW is best described as:</w:t>
      </w:r>
    </w:p>
    <w:p>
      <w:pPr>
        <w:pStyle w:val="ListBullet"/>
      </w:pPr>
      <w:r>
        <w:rPr>
          <w:color w:val="333333"/>
          <w:sz w:val="22"/>
        </w:rPr>
        <w:t>A. A quantization scheme</w:t>
      </w:r>
    </w:p>
    <w:p>
      <w:pPr>
        <w:pStyle w:val="ListBullet"/>
      </w:pPr>
      <w:r>
        <w:rPr>
          <w:color w:val="333333"/>
          <w:sz w:val="22"/>
        </w:rPr>
        <w:t>B. A graph-based ANN index</w:t>
      </w:r>
    </w:p>
    <w:p>
      <w:pPr>
        <w:pStyle w:val="ListBullet"/>
      </w:pPr>
      <w:r>
        <w:rPr>
          <w:color w:val="333333"/>
          <w:sz w:val="22"/>
        </w:rPr>
        <w:t>C. A sparse retriever</w:t>
      </w:r>
    </w:p>
    <w:p>
      <w:pPr>
        <w:pStyle w:val="ListBullet"/>
      </w:pPr>
      <w:r>
        <w:rPr>
          <w:color w:val="333333"/>
          <w:sz w:val="22"/>
        </w:rPr>
        <w:t>D. A reranker</w:t>
      </w:r>
    </w:p>
    <w:p>
      <w:r>
        <w:rPr>
          <w:b/>
          <w:color w:val="1E2761"/>
          <w:sz w:val="26"/>
        </w:rPr>
        <w:t>Q5. Approximate nearest neighbor search trades:</w:t>
      </w:r>
    </w:p>
    <w:p>
      <w:pPr>
        <w:pStyle w:val="ListBullet"/>
      </w:pPr>
      <w:r>
        <w:rPr>
          <w:color w:val="333333"/>
          <w:sz w:val="22"/>
        </w:rPr>
        <w:t>A. Memory for latency</w:t>
      </w:r>
    </w:p>
    <w:p>
      <w:pPr>
        <w:pStyle w:val="ListBullet"/>
      </w:pPr>
      <w:r>
        <w:rPr>
          <w:color w:val="333333"/>
          <w:sz w:val="22"/>
        </w:rPr>
        <w:t>B. Recall for speed</w:t>
      </w:r>
    </w:p>
    <w:p>
      <w:pPr>
        <w:pStyle w:val="ListBullet"/>
      </w:pPr>
      <w:r>
        <w:rPr>
          <w:color w:val="333333"/>
          <w:sz w:val="22"/>
        </w:rPr>
        <w:t>C. Precision for memory only</w:t>
      </w:r>
    </w:p>
    <w:p>
      <w:pPr>
        <w:pStyle w:val="ListBullet"/>
      </w:pPr>
      <w:r>
        <w:rPr>
          <w:color w:val="333333"/>
          <w:sz w:val="22"/>
        </w:rPr>
        <w:t>D. Throughput for cost</w:t>
      </w:r>
    </w:p>
    <w:p>
      <w:r>
        <w:rPr>
          <w:b/>
          <w:color w:val="1E2761"/>
          <w:sz w:val="26"/>
        </w:rPr>
        <w:t>Q6. Which is NOT among the five numbers to benchmark on a vector DB?</w:t>
      </w:r>
    </w:p>
    <w:p>
      <w:pPr>
        <w:pStyle w:val="ListBullet"/>
      </w:pPr>
      <w:r>
        <w:rPr>
          <w:color w:val="333333"/>
          <w:sz w:val="22"/>
        </w:rPr>
        <w:t>A. Index build time</w:t>
      </w:r>
    </w:p>
    <w:p>
      <w:pPr>
        <w:pStyle w:val="ListBullet"/>
      </w:pPr>
      <w:r>
        <w:rPr>
          <w:color w:val="333333"/>
          <w:sz w:val="22"/>
        </w:rPr>
        <w:t>B. RAM footprint</w:t>
      </w:r>
    </w:p>
    <w:p>
      <w:pPr>
        <w:pStyle w:val="ListBullet"/>
      </w:pPr>
      <w:r>
        <w:rPr>
          <w:color w:val="333333"/>
          <w:sz w:val="22"/>
        </w:rPr>
        <w:t>C. Color depth</w:t>
      </w:r>
    </w:p>
    <w:p>
      <w:pPr>
        <w:pStyle w:val="ListBullet"/>
      </w:pPr>
      <w:r>
        <w:rPr>
          <w:color w:val="333333"/>
          <w:sz w:val="22"/>
        </w:rPr>
        <w:t>D. Query throughput</w:t>
      </w:r>
    </w:p>
    <w:p>
      <w:r>
        <w:rPr>
          <w:b/>
          <w:color w:val="1E2761"/>
          <w:sz w:val="26"/>
        </w:rPr>
        <w:t>Q7. Self-attention computes attention weights using:</w:t>
      </w:r>
    </w:p>
    <w:p>
      <w:pPr>
        <w:pStyle w:val="ListBullet"/>
      </w:pPr>
      <w:r>
        <w:rPr>
          <w:color w:val="333333"/>
          <w:sz w:val="22"/>
        </w:rPr>
        <w:t>A. Q and K only</w:t>
      </w:r>
    </w:p>
    <w:p>
      <w:pPr>
        <w:pStyle w:val="ListBullet"/>
      </w:pPr>
      <w:r>
        <w:rPr>
          <w:color w:val="333333"/>
          <w:sz w:val="22"/>
        </w:rPr>
        <w:t>B. Q, K, V projections</w:t>
      </w:r>
    </w:p>
    <w:p>
      <w:pPr>
        <w:pStyle w:val="ListBullet"/>
      </w:pPr>
      <w:r>
        <w:rPr>
          <w:color w:val="333333"/>
          <w:sz w:val="22"/>
        </w:rPr>
        <w:t>C. Just embeddings</w:t>
      </w:r>
    </w:p>
    <w:p>
      <w:pPr>
        <w:pStyle w:val="ListBullet"/>
      </w:pPr>
      <w:r>
        <w:rPr>
          <w:color w:val="333333"/>
          <w:sz w:val="22"/>
        </w:rPr>
        <w:t>D. Convolutions</w:t>
      </w:r>
    </w:p>
    <w:p>
      <w:r>
        <w:rPr>
          <w:b/>
          <w:color w:val="1E2761"/>
          <w:sz w:val="26"/>
        </w:rPr>
        <w:t>Q8. Multi-head attention runs attention:</w:t>
      </w:r>
    </w:p>
    <w:p>
      <w:pPr>
        <w:pStyle w:val="ListBullet"/>
      </w:pPr>
      <w:r>
        <w:rPr>
          <w:color w:val="333333"/>
          <w:sz w:val="22"/>
        </w:rPr>
        <w:t>A. Sequentially</w:t>
      </w:r>
    </w:p>
    <w:p>
      <w:pPr>
        <w:pStyle w:val="ListBullet"/>
      </w:pPr>
      <w:r>
        <w:rPr>
          <w:color w:val="333333"/>
          <w:sz w:val="22"/>
        </w:rPr>
        <w:t>B. In parallel h times and concatenates</w:t>
      </w:r>
    </w:p>
    <w:p>
      <w:pPr>
        <w:pStyle w:val="ListBullet"/>
      </w:pPr>
      <w:r>
        <w:rPr>
          <w:color w:val="333333"/>
          <w:sz w:val="22"/>
        </w:rPr>
        <w:t>C. Only on the first layer</w:t>
      </w:r>
    </w:p>
    <w:p>
      <w:pPr>
        <w:pStyle w:val="ListBullet"/>
      </w:pPr>
      <w:r>
        <w:rPr>
          <w:color w:val="333333"/>
          <w:sz w:val="22"/>
        </w:rPr>
        <w:t>D. Only at inference</w:t>
      </w:r>
    </w:p>
    <w:p>
      <w:r>
        <w:rPr>
          <w:b/>
          <w:color w:val="1E2761"/>
          <w:sz w:val="26"/>
        </w:rPr>
        <w:t>Q9. Product quantization helps mainly with:</w:t>
      </w:r>
    </w:p>
    <w:p>
      <w:pPr>
        <w:pStyle w:val="ListBullet"/>
      </w:pPr>
      <w:r>
        <w:rPr>
          <w:color w:val="333333"/>
          <w:sz w:val="22"/>
        </w:rPr>
        <w:t>A. Recall</w:t>
      </w:r>
    </w:p>
    <w:p>
      <w:pPr>
        <w:pStyle w:val="ListBullet"/>
      </w:pPr>
      <w:r>
        <w:rPr>
          <w:color w:val="333333"/>
          <w:sz w:val="22"/>
        </w:rPr>
        <w:t>B. Memory footprint at billion scale</w:t>
      </w:r>
    </w:p>
    <w:p>
      <w:pPr>
        <w:pStyle w:val="ListBullet"/>
      </w:pPr>
      <w:r>
        <w:rPr>
          <w:color w:val="333333"/>
          <w:sz w:val="22"/>
        </w:rPr>
        <w:t>C. Build time only</w:t>
      </w:r>
    </w:p>
    <w:p>
      <w:pPr>
        <w:pStyle w:val="ListBullet"/>
      </w:pPr>
      <w:r>
        <w:rPr>
          <w:color w:val="333333"/>
          <w:sz w:val="22"/>
        </w:rPr>
        <w:t>D. Latency only</w:t>
      </w:r>
    </w:p>
    <w:p>
      <w:r>
        <w:rPr>
          <w:b/>
          <w:color w:val="1E2761"/>
          <w:sz w:val="26"/>
        </w:rPr>
        <w:t>Q10. A typical embedder dimension in 2026 ranges roughly:</w:t>
      </w:r>
    </w:p>
    <w:p>
      <w:pPr>
        <w:pStyle w:val="ListBullet"/>
      </w:pPr>
      <w:r>
        <w:rPr>
          <w:color w:val="333333"/>
          <w:sz w:val="22"/>
        </w:rPr>
        <w:t>A. 8 to 16</w:t>
      </w:r>
    </w:p>
    <w:p>
      <w:pPr>
        <w:pStyle w:val="ListBullet"/>
      </w:pPr>
      <w:r>
        <w:rPr>
          <w:color w:val="333333"/>
          <w:sz w:val="22"/>
        </w:rPr>
        <w:t>B. 64 to 128</w:t>
      </w:r>
    </w:p>
    <w:p>
      <w:pPr>
        <w:pStyle w:val="ListBullet"/>
      </w:pPr>
      <w:r>
        <w:rPr>
          <w:color w:val="333333"/>
          <w:sz w:val="22"/>
        </w:rPr>
        <w:t>C. 384 to 1024</w:t>
      </w:r>
    </w:p>
    <w:p>
      <w:pPr>
        <w:pStyle w:val="ListBullet"/>
      </w:pPr>
      <w:r>
        <w:rPr>
          <w:color w:val="333333"/>
          <w:sz w:val="22"/>
        </w:rPr>
        <w:t>D. 10000+</w:t>
      </w:r>
    </w:p>
    <w:p>
      <w:r>
        <w:rPr>
          <w:b/>
          <w:color w:val="1E2761"/>
          <w:sz w:val="26"/>
        </w:rPr>
        <w:t>Q11. Decoder-only models like GPT predict:</w:t>
      </w:r>
    </w:p>
    <w:p>
      <w:pPr>
        <w:pStyle w:val="ListBullet"/>
      </w:pPr>
      <w:r>
        <w:rPr>
          <w:color w:val="333333"/>
          <w:sz w:val="22"/>
        </w:rPr>
        <w:t>A. Masked tokens</w:t>
      </w:r>
    </w:p>
    <w:p>
      <w:pPr>
        <w:pStyle w:val="ListBullet"/>
      </w:pPr>
      <w:r>
        <w:rPr>
          <w:color w:val="333333"/>
          <w:sz w:val="22"/>
        </w:rPr>
        <w:t>B. The next token from left context</w:t>
      </w:r>
    </w:p>
    <w:p>
      <w:pPr>
        <w:pStyle w:val="ListBullet"/>
      </w:pPr>
      <w:r>
        <w:rPr>
          <w:color w:val="333333"/>
          <w:sz w:val="22"/>
        </w:rPr>
        <w:t>C. Token positions</w:t>
      </w:r>
    </w:p>
    <w:p>
      <w:pPr>
        <w:pStyle w:val="ListBullet"/>
      </w:pPr>
      <w:r>
        <w:rPr>
          <w:color w:val="333333"/>
          <w:sz w:val="22"/>
        </w:rPr>
        <w:t>D. Class labels</w:t>
      </w:r>
    </w:p>
    <w:p>
      <w:r>
        <w:rPr>
          <w:b/>
          <w:color w:val="1E2761"/>
          <w:sz w:val="26"/>
        </w:rPr>
        <w:t>Q12. IVF (inverted file) indexes are best when:</w:t>
      </w:r>
    </w:p>
    <w:p>
      <w:pPr>
        <w:pStyle w:val="ListBullet"/>
      </w:pPr>
      <w:r>
        <w:rPr>
          <w:color w:val="333333"/>
          <w:sz w:val="22"/>
        </w:rPr>
        <w:t>A. RAM is unlimited</w:t>
      </w:r>
    </w:p>
    <w:p>
      <w:pPr>
        <w:pStyle w:val="ListBullet"/>
      </w:pPr>
      <w:r>
        <w:rPr>
          <w:color w:val="333333"/>
          <w:sz w:val="22"/>
        </w:rPr>
        <w:t>B. Memory pressure is high</w:t>
      </w:r>
    </w:p>
    <w:p>
      <w:pPr>
        <w:pStyle w:val="ListBullet"/>
      </w:pPr>
      <w:r>
        <w:rPr>
          <w:color w:val="333333"/>
          <w:sz w:val="22"/>
        </w:rPr>
        <w:t>C. Recall must be perfect</w:t>
      </w:r>
    </w:p>
    <w:p>
      <w:pPr>
        <w:pStyle w:val="ListBullet"/>
      </w:pPr>
      <w:r>
        <w:rPr>
          <w:color w:val="333333"/>
          <w:sz w:val="22"/>
        </w:rPr>
        <w:t>D. Embeddings are 4-dimensional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Explain why dense retrieval helps when query and document share meaning but no words.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Sketch a benchmark plan for choosing between HNSW and IVF on a 50M-vector corpus.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Pick a downstream task and choose between encoder, decoder, and encoder-decoder. Justify.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