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Quiz</w:t>
      </w:r>
    </w:p>
    <w:p>
      <w:r>
        <w:rPr>
          <w:i/>
          <w:color w:val="333333"/>
          <w:sz w:val="28"/>
        </w:rPr>
        <w:t>Fine-Tuning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Chinchilla recommends roughly how many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b/>
          <w:color w:val="1E2761"/>
          <w:sz w:val="26"/>
        </w:rPr>
        <w:t>Q2. LoRA trains:</w:t>
      </w:r>
    </w:p>
    <w:p>
      <w:pPr>
        <w:pStyle w:val="ListBullet"/>
      </w:pPr>
      <w:r>
        <w:rPr>
          <w:color w:val="333333"/>
          <w:sz w:val="22"/>
        </w:rPr>
        <w:t>A. The full base</w:t>
      </w:r>
    </w:p>
    <w:p>
      <w:pPr>
        <w:pStyle w:val="ListBullet"/>
      </w:pPr>
      <w:r>
        <w:rPr>
          <w:color w:val="333333"/>
          <w:sz w:val="22"/>
        </w:rPr>
        <w:t>B. Only low-rank A and B matrices</w:t>
      </w:r>
    </w:p>
    <w:p>
      <w:pPr>
        <w:pStyle w:val="ListBullet"/>
      </w:pPr>
      <w:r>
        <w:rPr>
          <w:color w:val="333333"/>
          <w:sz w:val="22"/>
        </w:rPr>
        <w:t>C. Embeddings only</w:t>
      </w:r>
    </w:p>
    <w:p>
      <w:pPr>
        <w:pStyle w:val="ListBullet"/>
      </w:pPr>
      <w:r>
        <w:rPr>
          <w:color w:val="333333"/>
          <w:sz w:val="22"/>
        </w:rPr>
        <w:t>D. Layer norms</w:t>
      </w:r>
    </w:p>
    <w:p>
      <w:r>
        <w:rPr>
          <w:b/>
          <w:color w:val="1E2761"/>
          <w:sz w:val="26"/>
        </w:rPr>
        <w:t>Q3. Typical LoRA rank in practice: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4 to 64</w:t>
      </w:r>
    </w:p>
    <w:p>
      <w:pPr>
        <w:pStyle w:val="ListBullet"/>
      </w:pPr>
      <w:r>
        <w:rPr>
          <w:color w:val="333333"/>
          <w:sz w:val="22"/>
        </w:rPr>
        <w:t>C. 1024</w:t>
      </w:r>
    </w:p>
    <w:p>
      <w:pPr>
        <w:pStyle w:val="ListBullet"/>
      </w:pPr>
      <w:r>
        <w:rPr>
          <w:color w:val="333333"/>
          <w:sz w:val="22"/>
        </w:rPr>
        <w:t>D. 10000</w:t>
      </w:r>
    </w:p>
    <w:p>
      <w:r>
        <w:rPr>
          <w:b/>
          <w:color w:val="1E2761"/>
          <w:sz w:val="26"/>
        </w:rPr>
        <w:t>Q4. qLoRA quantizes the base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</w:t>
      </w:r>
    </w:p>
    <w:p>
      <w:r>
        <w:rPr>
          <w:b/>
          <w:color w:val="1E2761"/>
          <w:sz w:val="26"/>
        </w:rPr>
        <w:t>Q5. RLHF pipeline order is:</w:t>
      </w:r>
    </w:p>
    <w:p>
      <w:pPr>
        <w:pStyle w:val="ListBullet"/>
      </w:pPr>
      <w:r>
        <w:rPr>
          <w:color w:val="333333"/>
          <w:sz w:val="22"/>
        </w:rPr>
        <w:t>A. RM -&gt; SFT -&gt; PPO</w:t>
      </w:r>
    </w:p>
    <w:p>
      <w:pPr>
        <w:pStyle w:val="ListBullet"/>
      </w:pPr>
      <w:r>
        <w:rPr>
          <w:color w:val="333333"/>
          <w:sz w:val="22"/>
        </w:rPr>
        <w:t>B. SFT -&gt; RM -&gt; PPO</w:t>
      </w:r>
    </w:p>
    <w:p>
      <w:pPr>
        <w:pStyle w:val="ListBullet"/>
      </w:pPr>
      <w:r>
        <w:rPr>
          <w:color w:val="333333"/>
          <w:sz w:val="22"/>
        </w:rPr>
        <w:t>C. PPO -&gt; SFT -&gt; RM</w:t>
      </w:r>
    </w:p>
    <w:p>
      <w:pPr>
        <w:pStyle w:val="ListBullet"/>
      </w:pPr>
      <w:r>
        <w:rPr>
          <w:color w:val="333333"/>
          <w:sz w:val="22"/>
        </w:rPr>
        <w:t>D. RM -&gt; PPO -&gt; SFT</w:t>
      </w:r>
    </w:p>
    <w:p>
      <w:r>
        <w:rPr>
          <w:b/>
          <w:color w:val="1E2761"/>
          <w:sz w:val="26"/>
        </w:rPr>
        <w:t>Q6.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Random reward</w:t>
      </w:r>
    </w:p>
    <w:p>
      <w:r>
        <w:rPr>
          <w:b/>
          <w:color w:val="1E2761"/>
          <w:sz w:val="26"/>
        </w:rPr>
        <w:t>Q7.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</w:t>
      </w:r>
    </w:p>
    <w:p>
      <w:pPr>
        <w:pStyle w:val="ListBullet"/>
      </w:pPr>
      <w:r>
        <w:rPr>
          <w:color w:val="333333"/>
          <w:sz w:val="22"/>
        </w:rPr>
        <w:t>B. Dropping the value network via group-relative advantage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Gradient checkpointing</w:t>
      </w:r>
    </w:p>
    <w:p>
      <w:r>
        <w:rPr>
          <w:b/>
          <w:color w:val="1E2761"/>
          <w:sz w:val="26"/>
        </w:rPr>
        <w:t>Q8. PPO KL penalty prevents:</w:t>
      </w:r>
    </w:p>
    <w:p>
      <w:pPr>
        <w:pStyle w:val="ListBullet"/>
      </w:pPr>
      <w:r>
        <w:rPr>
          <w:color w:val="333333"/>
          <w:sz w:val="22"/>
        </w:rPr>
        <w:t>A. Slow training</w:t>
      </w:r>
    </w:p>
    <w:p>
      <w:pPr>
        <w:pStyle w:val="ListBullet"/>
      </w:pPr>
      <w:r>
        <w:rPr>
          <w:color w:val="333333"/>
          <w:sz w:val="22"/>
        </w:rPr>
        <w:t>B. Policy drift away from reference model</w:t>
      </w:r>
    </w:p>
    <w:p>
      <w:pPr>
        <w:pStyle w:val="ListBullet"/>
      </w:pPr>
      <w:r>
        <w:rPr>
          <w:color w:val="333333"/>
          <w:sz w:val="22"/>
        </w:rPr>
        <w:t>C. Reward overflow</w:t>
      </w:r>
    </w:p>
    <w:p>
      <w:pPr>
        <w:pStyle w:val="ListBullet"/>
      </w:pPr>
      <w:r>
        <w:rPr>
          <w:color w:val="333333"/>
          <w:sz w:val="22"/>
        </w:rPr>
        <w:t>D. Tokenizer errors</w:t>
      </w:r>
    </w:p>
    <w:p>
      <w:r>
        <w:rPr>
          <w:b/>
          <w:color w:val="1E2761"/>
          <w:sz w:val="26"/>
        </w:rPr>
        <w:t>Q9. LoRA target modules commonly include:</w:t>
      </w:r>
    </w:p>
    <w:p>
      <w:pPr>
        <w:pStyle w:val="ListBullet"/>
      </w:pPr>
      <w:r>
        <w:rPr>
          <w:color w:val="333333"/>
          <w:sz w:val="22"/>
        </w:rPr>
        <w:t>A. Layer norms only</w:t>
      </w:r>
    </w:p>
    <w:p>
      <w:pPr>
        <w:pStyle w:val="ListBullet"/>
      </w:pPr>
      <w:r>
        <w:rPr>
          <w:color w:val="333333"/>
          <w:sz w:val="22"/>
        </w:rPr>
        <w:t>B. Q, V, O projections (and sometimes K, MLP)</w:t>
      </w:r>
    </w:p>
    <w:p>
      <w:pPr>
        <w:pStyle w:val="ListBullet"/>
      </w:pPr>
      <w:r>
        <w:rPr>
          <w:color w:val="333333"/>
          <w:sz w:val="22"/>
        </w:rPr>
        <w:t>C. Tokenizer only</w:t>
      </w:r>
    </w:p>
    <w:p>
      <w:pPr>
        <w:pStyle w:val="ListBullet"/>
      </w:pPr>
      <w:r>
        <w:rPr>
          <w:color w:val="333333"/>
          <w:sz w:val="22"/>
        </w:rPr>
        <w:t>D. Position embeddings</w:t>
      </w:r>
    </w:p>
    <w:p>
      <w:r>
        <w:rPr>
          <w:b/>
          <w:color w:val="1E2761"/>
          <w:sz w:val="26"/>
        </w:rPr>
        <w:t>Q10. Soft prompting trains:</w:t>
      </w:r>
    </w:p>
    <w:p>
      <w:pPr>
        <w:pStyle w:val="ListBullet"/>
      </w:pPr>
      <w:r>
        <w:rPr>
          <w:color w:val="333333"/>
          <w:sz w:val="22"/>
        </w:rPr>
        <w:t>A. Full layers</w:t>
      </w:r>
    </w:p>
    <w:p>
      <w:pPr>
        <w:pStyle w:val="ListBullet"/>
      </w:pPr>
      <w:r>
        <w:rPr>
          <w:color w:val="333333"/>
          <w:sz w:val="22"/>
        </w:rPr>
        <w:t>B. A small trainable embedding prefix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Layer norms</w:t>
      </w:r>
    </w:p>
    <w:p>
      <w:r>
        <w:rPr>
          <w:b/>
          <w:color w:val="1E2761"/>
          <w:sz w:val="26"/>
        </w:rPr>
        <w:t>Q11. Steering vectors are applied:</w:t>
      </w:r>
    </w:p>
    <w:p>
      <w:pPr>
        <w:pStyle w:val="ListBullet"/>
      </w:pPr>
      <w:r>
        <w:rPr>
          <w:color w:val="333333"/>
          <w:sz w:val="22"/>
        </w:rPr>
        <w:t>A. During training</w:t>
      </w:r>
    </w:p>
    <w:p>
      <w:pPr>
        <w:pStyle w:val="ListBullet"/>
      </w:pPr>
      <w:r>
        <w:rPr>
          <w:color w:val="333333"/>
          <w:sz w:val="22"/>
        </w:rPr>
        <w:t>B. At inference as activation edits</w:t>
      </w:r>
    </w:p>
    <w:p>
      <w:pPr>
        <w:pStyle w:val="ListBullet"/>
      </w:pPr>
      <w:r>
        <w:rPr>
          <w:color w:val="333333"/>
          <w:sz w:val="22"/>
        </w:rPr>
        <w:t>C. To the tokenizer</w:t>
      </w:r>
    </w:p>
    <w:p>
      <w:pPr>
        <w:pStyle w:val="ListBullet"/>
      </w:pPr>
      <w:r>
        <w:rPr>
          <w:color w:val="333333"/>
          <w:sz w:val="22"/>
        </w:rPr>
        <w:t>D. To the dataset</w:t>
      </w:r>
    </w:p>
    <w:p>
      <w:r>
        <w:rPr>
          <w:b/>
          <w:color w:val="1E2761"/>
          <w:sz w:val="26"/>
        </w:rPr>
        <w:t>Q12. Evaluation of fine-tuned models should include:</w:t>
      </w:r>
    </w:p>
    <w:p>
      <w:pPr>
        <w:pStyle w:val="ListBullet"/>
      </w:pPr>
      <w:r>
        <w:rPr>
          <w:color w:val="333333"/>
          <w:sz w:val="22"/>
        </w:rPr>
        <w:t>A. Only target task eval</w:t>
      </w:r>
    </w:p>
    <w:p>
      <w:pPr>
        <w:pStyle w:val="ListBullet"/>
      </w:pPr>
      <w:r>
        <w:rPr>
          <w:color w:val="333333"/>
          <w:sz w:val="22"/>
        </w:rPr>
        <w:t>B. Target task plus regression suite plus harm test</w:t>
      </w:r>
    </w:p>
    <w:p>
      <w:pPr>
        <w:pStyle w:val="ListBullet"/>
      </w:pPr>
      <w:r>
        <w:rPr>
          <w:color w:val="333333"/>
          <w:sz w:val="22"/>
        </w:rPr>
        <w:t>C. No eval</w:t>
      </w:r>
    </w:p>
    <w:p>
      <w:pPr>
        <w:pStyle w:val="ListBullet"/>
      </w:pPr>
      <w:r>
        <w:rPr>
          <w:color w:val="333333"/>
          <w:sz w:val="22"/>
        </w:rPr>
        <w:t>D. Tokenizer test only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LoRA rank, alpha, and target modules for SQL fine-tuning on a 7B model.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Sketch an RLVR setup for code generation.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Compare DPO and PPO on data needs and stability.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