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Research Paper Reading Guide</w:t>
      </w:r>
    </w:p>
    <w:p>
      <w:r>
        <w:rPr>
          <w:i/>
          <w:color w:val="333333"/>
          <w:sz w:val="28"/>
        </w:rPr>
        <w:t>Retrieval Funnel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ColBERT: Efficient and Effective Passage Search via Contextualized Late Interaction</w:t>
      </w:r>
    </w:p>
    <w:p>
      <w:r>
        <w:rPr>
          <w:color w:val="333333"/>
          <w:sz w:val="22"/>
        </w:rPr>
        <w:t>Khattab and Zaharia, 2020 (arXiv:2004.12832).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Matryoshka Representation Learning</w:t>
      </w:r>
    </w:p>
    <w:p>
      <w:r>
        <w:rPr>
          <w:color w:val="333333"/>
          <w:sz w:val="22"/>
        </w:rPr>
        <w:t>Kusupati et al., 2022 (arXiv:2205.13147).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SPLADE: Sparse Lexical and Expansion Model for First Stage Ranking</w:t>
      </w:r>
    </w:p>
    <w:p>
      <w:r>
        <w:rPr>
          <w:color w:val="333333"/>
          <w:sz w:val="22"/>
        </w:rPr>
        <w:t>Formal et al., 2021 (arXiv:2107.05720).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