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Research Paper Reading Guide</w:t>
      </w:r>
    </w:p>
    <w:p>
      <w:r>
        <w:rPr>
          <w:i/>
          <w:color w:val="333333"/>
          <w:sz w:val="28"/>
        </w:rPr>
        <w:t>Prompts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DSPy: Compiling Declarative Language Model Calls into Self-Improving Pipelines</w:t>
      </w:r>
    </w:p>
    <w:p>
      <w:r>
        <w:rPr>
          <w:color w:val="333333"/>
          <w:sz w:val="22"/>
        </w:rPr>
        <w:t>Khattab et al., 2023 (arXiv:2310.03714).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Large Language Models are Human-Level Prompt Engineers</w:t>
      </w:r>
    </w:p>
    <w:p>
      <w:r>
        <w:rPr>
          <w:color w:val="333333"/>
          <w:sz w:val="22"/>
        </w:rPr>
        <w:t>Zhou et al., 2022 (arXiv:2211.01910). The original metaprompt result.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