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Research Paper Reading Guide</w:t>
      </w:r>
    </w:p>
    <w:p>
      <w:r>
        <w:rPr>
          <w:i/>
          <w:color w:val="333333"/>
          <w:sz w:val="28"/>
        </w:rPr>
        <w:t>Overcoming RAG Challenges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RAGAS: Automated Evaluation of Retrieval Augmented Generation</w:t>
      </w:r>
    </w:p>
    <w:p>
      <w:r>
        <w:rPr>
          <w:color w:val="333333"/>
          <w:sz w:val="22"/>
        </w:rPr>
        <w:t>Es et al., 2023 (arXiv:2309.15217).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Constitutional AI: Harmlessness from AI Feedback</w:t>
      </w:r>
    </w:p>
    <w:p>
      <w:r>
        <w:rPr>
          <w:color w:val="333333"/>
          <w:sz w:val="22"/>
        </w:rPr>
        <w:t>Bai et al., 2022 (arXiv:2212.08073). Relevant for guardrail design.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