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3 Project Brief: Reference Solution Sketch</w:t>
      </w:r>
    </w:p>
    <w:p>
      <w:r>
        <w:rPr>
          <w:i/>
          <w:color w:val="333333"/>
          <w:sz w:val="28"/>
        </w:rPr>
        <w:t>Four chunking strategies head to head</w:t>
      </w:r>
    </w:p>
    <w:p>
      <w:r>
        <w:rPr>
          <w:i/>
          <w:color w:val="333333"/>
          <w:sz w:val="22"/>
        </w:rPr>
        <w:t>Bootcamp theme: Retrieval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Implement fixed-size, semantic, late, and contextual chunking on the same corpus. Compare retrieval recall@10 and end-to-end answer quality.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Embedder with long-context support</w:t>
      </w:r>
    </w:p>
    <w:p>
      <w:pPr>
        <w:pStyle w:val="ListBullet"/>
      </w:pPr>
      <w:r>
        <w:rPr>
          <w:color w:val="333333"/>
          <w:sz w:val="22"/>
        </w:rPr>
        <w:t>An LLM API for contextual summaries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Four chunker implementations with shared interface</w:t>
      </w:r>
    </w:p>
    <w:p>
      <w:pPr>
        <w:pStyle w:val="ListBullet"/>
      </w:pPr>
      <w:r>
        <w:rPr>
          <w:color w:val="333333"/>
          <w:sz w:val="22"/>
        </w:rPr>
        <w:t>Indexed corpus for each</w:t>
      </w:r>
    </w:p>
    <w:p>
      <w:pPr>
        <w:pStyle w:val="ListBullet"/>
      </w:pPr>
      <w:r>
        <w:rPr>
          <w:color w:val="333333"/>
          <w:sz w:val="22"/>
        </w:rPr>
        <w:t>100-query eval set with gold answers</w:t>
      </w:r>
    </w:p>
    <w:p>
      <w:pPr>
        <w:pStyle w:val="ListBullet"/>
      </w:pPr>
      <w:r>
        <w:rPr>
          <w:color w:val="333333"/>
          <w:sz w:val="22"/>
        </w:rPr>
        <w:t>Comparison table with recall@10 and answer F1</w:t>
      </w:r>
    </w:p>
    <w:p>
      <w:pPr>
        <w:pStyle w:val="ListBullet"/>
      </w:pPr>
      <w:r>
        <w:rPr>
          <w:color w:val="333333"/>
          <w:sz w:val="22"/>
        </w:rPr>
        <w:t>Recommendation paragraph keyed to corpus characteristics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hierarchical (mother-child) strategy as a fifth option.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'week-03-submit'.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All four chunkers implement chunk(doc) -&gt; list[Chunk] so the indexing and eval code is shared. Fixed-size uses 400 tokens with 50 overlap; semantic splits on embedding-similarity dips between adjacent sentences; late chunking embeds the full document with a long-context embedder and mean-pools token vectors per chunk span; contextual chunking prepends a one-sentence document summary (one LLM call per chunk, cached to disk). The comparison table reports recall@10, mean chunk length, ingestion cost in dollars, and answer F1 on the same 100-query set.</w:t>
      </w:r>
    </w:p>
    <w:p>
      <w:r>
        <w:rPr>
          <w:b/>
          <w:color w:val="1E2761"/>
          <w:sz w:val="26"/>
        </w:rPr>
        <w:t>Implementation Outline</w:t>
      </w:r>
    </w:p>
    <w:p>
      <w:pPr>
        <w:pStyle w:val="ListBullet"/>
      </w:pPr>
      <w:r>
        <w:rPr>
          <w:color w:val="333333"/>
          <w:sz w:val="22"/>
        </w:rPr>
        <w:t>Define Chunk(text, doc_id, span) and one build_index(chunks) used by all four strategies.</w:t>
      </w:r>
    </w:p>
    <w:p>
      <w:pPr>
        <w:pStyle w:val="ListBullet"/>
      </w:pPr>
      <w:r>
        <w:rPr>
          <w:color w:val="333333"/>
          <w:sz w:val="22"/>
        </w:rPr>
        <w:t>Cache contextual summaries as {doc_id}/{chunk_idx}.txt so re-runs cost zero LLM calls.</w:t>
      </w:r>
    </w:p>
    <w:p>
      <w:pPr>
        <w:pStyle w:val="ListBullet"/>
      </w:pPr>
      <w:r>
        <w:rPr>
          <w:color w:val="333333"/>
          <w:sz w:val="22"/>
        </w:rPr>
        <w:t>Run the 100-query set through a single eval loop parameterized by index name.</w:t>
      </w:r>
    </w:p>
    <w:p>
      <w:pPr>
        <w:pStyle w:val="ListBullet"/>
      </w:pPr>
      <w:r>
        <w:rPr>
          <w:color w:val="333333"/>
          <w:sz w:val="22"/>
        </w:rPr>
        <w:t>Recommendation paragraph keys the winner to corpus traits: section-structured docs favor contextual, clean prose favors semantic.</w:t>
      </w:r>
    </w:p>
    <w:p>
      <w:pPr>
        <w:pStyle w:val="ListBullet"/>
      </w:pPr>
      <w:r>
        <w:rPr>
          <w:color w:val="333333"/>
          <w:sz w:val="22"/>
        </w:rPr>
        <w:t>Bonus mother-child strategy reuses the week's hierarchical lab code with 1,000/250-token levels.</w:t>
      </w:r>
    </w:p>
    <w:p>
      <w:r>
        <w:rPr>
          <w:color w:val="333333"/>
          <w:sz w:val="22"/>
        </w:rPr>
        <w:t>Skeletons for each deliverable are in the lab repo branch 'reference-week-03'.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