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761"/>
          <w:sz w:val="44"/>
        </w:rPr>
        <w:t>Week 10 Quiz: Answer Key</w:t>
      </w:r>
    </w:p>
    <w:p>
      <w:r>
        <w:rPr>
          <w:i/>
          <w:color w:val="333333"/>
          <w:sz w:val="28"/>
        </w:rPr>
        <w:t>Agentic RAG and Text2SQL</w:t>
      </w:r>
    </w:p>
    <w:p>
      <w:r>
        <w:rPr>
          <w:i/>
          <w:color w:val="333333"/>
          <w:sz w:val="22"/>
        </w:rPr>
        <w:t>Tuesday 8:30 to 10:00 AM PT | 30 minutes | 60 points | Instructor: Pavan R</w:t>
      </w:r>
    </w:p>
    <w:p>
      <w:pPr>
        <w:pBdr>
          <w:bottom w:val="single" w:sz="6" w:space="1" w:color="1E2761"/>
        </w:pBdr>
      </w:pPr>
    </w:p>
    <w:p>
      <w:r>
        <w:rPr>
          <w:b/>
          <w:color w:val="1E2761"/>
          <w:sz w:val="32"/>
        </w:rPr>
        <w:t>Instructions</w:t>
      </w:r>
    </w:p>
    <w:p>
      <w:r>
        <w:rPr>
          <w:color w:val="333333"/>
          <w:sz w:val="22"/>
        </w:rPr>
        <w:t>12 multiple-choice questions (3 points each) and 3 short-answer questions (8 points each).</w:t>
      </w:r>
    </w:p>
    <w:p>
      <w:r>
        <w:rPr>
          <w:b/>
          <w:color w:val="1E2761"/>
          <w:sz w:val="32"/>
        </w:rPr>
        <w:t>Part A: Multiple Choice</w:t>
      </w:r>
    </w:p>
    <w:p>
      <w:r>
        <w:rPr>
          <w:b/>
          <w:color w:val="1E2761"/>
          <w:sz w:val="26"/>
        </w:rPr>
        <w:t>Q1. Agentic RAG differs from static RAG by:</w:t>
      </w:r>
    </w:p>
    <w:p>
      <w:pPr>
        <w:pStyle w:val="ListBullet"/>
      </w:pPr>
      <w:r>
        <w:rPr>
          <w:color w:val="333333"/>
          <w:sz w:val="22"/>
        </w:rPr>
        <w:t>A. Using more documents</w:t>
      </w:r>
    </w:p>
    <w:p>
      <w:pPr>
        <w:pStyle w:val="ListBullet"/>
      </w:pPr>
      <w:r>
        <w:rPr>
          <w:color w:val="333333"/>
          <w:sz w:val="22"/>
        </w:rPr>
        <w:t>B. Letting the agent decide when and what to retrieve   [correct]</w:t>
      </w:r>
    </w:p>
    <w:p>
      <w:pPr>
        <w:pStyle w:val="ListBullet"/>
      </w:pPr>
      <w:r>
        <w:rPr>
          <w:color w:val="333333"/>
          <w:sz w:val="22"/>
        </w:rPr>
        <w:t>C. Using vector stores</w:t>
      </w:r>
    </w:p>
    <w:p>
      <w:pPr>
        <w:pStyle w:val="ListBullet"/>
      </w:pPr>
      <w:r>
        <w:rPr>
          <w:color w:val="333333"/>
          <w:sz w:val="22"/>
        </w:rPr>
        <w:t>D. Using larger models</w:t>
      </w:r>
    </w:p>
    <w:p>
      <w:r>
        <w:rPr>
          <w:color w:val="333333"/>
          <w:sz w:val="22"/>
        </w:rPr>
        <w:t>Explanation: Retrieval becomes a decision.</w:t>
      </w:r>
    </w:p>
    <w:p>
      <w:r>
        <w:rPr>
          <w:b/>
          <w:color w:val="1E2761"/>
          <w:sz w:val="26"/>
        </w:rPr>
        <w:t>Q2. MCP is preferred for tool integration because it:</w:t>
      </w:r>
    </w:p>
    <w:p>
      <w:pPr>
        <w:pStyle w:val="ListBullet"/>
      </w:pPr>
      <w:r>
        <w:rPr>
          <w:color w:val="333333"/>
          <w:sz w:val="22"/>
        </w:rPr>
        <w:t>A. Is proprietary</w:t>
      </w:r>
    </w:p>
    <w:p>
      <w:pPr>
        <w:pStyle w:val="ListBullet"/>
      </w:pPr>
      <w:r>
        <w:rPr>
          <w:color w:val="333333"/>
          <w:sz w:val="22"/>
        </w:rPr>
        <w:t>B. Standardizes tool interfaces with JSON schemas and capability negotiation   [correct]</w:t>
      </w:r>
    </w:p>
    <w:p>
      <w:pPr>
        <w:pStyle w:val="ListBullet"/>
      </w:pPr>
      <w:r>
        <w:rPr>
          <w:color w:val="333333"/>
          <w:sz w:val="22"/>
        </w:rPr>
        <w:t>C. Requires special hardware</w:t>
      </w:r>
    </w:p>
    <w:p>
      <w:pPr>
        <w:pStyle w:val="ListBullet"/>
      </w:pPr>
      <w:r>
        <w:rPr>
          <w:color w:val="333333"/>
          <w:sz w:val="22"/>
        </w:rPr>
        <w:t>D. Forbids OAuth</w:t>
      </w:r>
    </w:p>
    <w:p>
      <w:r>
        <w:rPr>
          <w:color w:val="333333"/>
          <w:sz w:val="22"/>
        </w:rPr>
        <w:t>Explanation: Clean abstraction.</w:t>
      </w:r>
    </w:p>
    <w:p>
      <w:r>
        <w:rPr>
          <w:b/>
          <w:color w:val="1E2761"/>
          <w:sz w:val="26"/>
        </w:rPr>
        <w:t>Q3. Generalist agent with many tools wins until:</w:t>
      </w:r>
    </w:p>
    <w:p>
      <w:pPr>
        <w:pStyle w:val="ListBullet"/>
      </w:pPr>
      <w:r>
        <w:rPr>
          <w:color w:val="333333"/>
          <w:sz w:val="22"/>
        </w:rPr>
        <w:t>A. Forever</w:t>
      </w:r>
    </w:p>
    <w:p>
      <w:pPr>
        <w:pStyle w:val="ListBullet"/>
      </w:pPr>
      <w:r>
        <w:rPr>
          <w:color w:val="333333"/>
          <w:sz w:val="22"/>
        </w:rPr>
        <w:t>B. Tool count saturates the model's selection bandwidth   [correct]</w:t>
      </w:r>
    </w:p>
    <w:p>
      <w:pPr>
        <w:pStyle w:val="ListBullet"/>
      </w:pPr>
      <w:r>
        <w:rPr>
          <w:color w:val="333333"/>
          <w:sz w:val="22"/>
        </w:rPr>
        <w:t>C. First retry</w:t>
      </w:r>
    </w:p>
    <w:p>
      <w:pPr>
        <w:pStyle w:val="ListBullet"/>
      </w:pPr>
      <w:r>
        <w:rPr>
          <w:color w:val="333333"/>
          <w:sz w:val="22"/>
        </w:rPr>
        <w:t>D. GPU runs out</w:t>
      </w:r>
    </w:p>
    <w:p>
      <w:r>
        <w:rPr>
          <w:color w:val="333333"/>
          <w:sz w:val="22"/>
        </w:rPr>
        <w:t>Explanation: Bandwidth limits.</w:t>
      </w:r>
    </w:p>
    <w:p>
      <w:r>
        <w:rPr>
          <w:b/>
          <w:color w:val="1E2761"/>
          <w:sz w:val="26"/>
        </w:rPr>
        <w:t>Q4. Text-to-SQL schema uncertainty is addressed by:</w:t>
      </w:r>
    </w:p>
    <w:p>
      <w:pPr>
        <w:pStyle w:val="ListBullet"/>
      </w:pPr>
      <w:r>
        <w:rPr>
          <w:color w:val="333333"/>
          <w:sz w:val="22"/>
        </w:rPr>
        <w:t>A. Showing the model all tables</w:t>
      </w:r>
    </w:p>
    <w:p>
      <w:pPr>
        <w:pStyle w:val="ListBullet"/>
      </w:pPr>
      <w:r>
        <w:rPr>
          <w:color w:val="333333"/>
          <w:sz w:val="22"/>
        </w:rPr>
        <w:t>B. Retrieving relevant tables for the question first   [correct]</w:t>
      </w:r>
    </w:p>
    <w:p>
      <w:pPr>
        <w:pStyle w:val="ListBullet"/>
      </w:pPr>
      <w:r>
        <w:rPr>
          <w:color w:val="333333"/>
          <w:sz w:val="22"/>
        </w:rPr>
        <w:t>C. Random sampling</w:t>
      </w:r>
    </w:p>
    <w:p>
      <w:pPr>
        <w:pStyle w:val="ListBullet"/>
      </w:pPr>
      <w:r>
        <w:rPr>
          <w:color w:val="333333"/>
          <w:sz w:val="22"/>
        </w:rPr>
        <w:t>D. Avoiding SQL</w:t>
      </w:r>
    </w:p>
    <w:p>
      <w:r>
        <w:rPr>
          <w:color w:val="333333"/>
          <w:sz w:val="22"/>
        </w:rPr>
        <w:t>Explanation: Schema retrieval step.</w:t>
      </w:r>
    </w:p>
    <w:p>
      <w:r>
        <w:rPr>
          <w:b/>
          <w:color w:val="1E2761"/>
          <w:sz w:val="26"/>
        </w:rPr>
        <w:t>Q5. CTE libraries help by:</w:t>
      </w:r>
    </w:p>
    <w:p>
      <w:pPr>
        <w:pStyle w:val="ListBullet"/>
      </w:pPr>
      <w:r>
        <w:rPr>
          <w:color w:val="333333"/>
          <w:sz w:val="22"/>
        </w:rPr>
        <w:t>A. Adding complexity</w:t>
      </w:r>
    </w:p>
    <w:p>
      <w:pPr>
        <w:pStyle w:val="ListBullet"/>
      </w:pPr>
      <w:r>
        <w:rPr>
          <w:color w:val="333333"/>
          <w:sz w:val="22"/>
        </w:rPr>
        <w:t>B. Providing pre-built reusable query patterns   [correct]</w:t>
      </w:r>
    </w:p>
    <w:p>
      <w:pPr>
        <w:pStyle w:val="ListBullet"/>
      </w:pPr>
      <w:r>
        <w:rPr>
          <w:color w:val="333333"/>
          <w:sz w:val="22"/>
        </w:rPr>
        <w:t>C. Replacing SQL</w:t>
      </w:r>
    </w:p>
    <w:p>
      <w:pPr>
        <w:pStyle w:val="ListBullet"/>
      </w:pPr>
      <w:r>
        <w:rPr>
          <w:color w:val="333333"/>
          <w:sz w:val="22"/>
        </w:rPr>
        <w:t>D. Restricting databases</w:t>
      </w:r>
    </w:p>
    <w:p>
      <w:r>
        <w:rPr>
          <w:color w:val="333333"/>
          <w:sz w:val="22"/>
        </w:rPr>
        <w:t>Explanation: Pre-built building blocks.</w:t>
      </w:r>
    </w:p>
    <w:p>
      <w:r>
        <w:rPr>
          <w:b/>
          <w:color w:val="1E2761"/>
          <w:sz w:val="26"/>
        </w:rPr>
        <w:t>Q6. RL for SQL generation typically adds gains of:</w:t>
      </w:r>
    </w:p>
    <w:p>
      <w:pPr>
        <w:pStyle w:val="ListBullet"/>
      </w:pPr>
      <w:r>
        <w:rPr>
          <w:color w:val="333333"/>
          <w:sz w:val="22"/>
        </w:rPr>
        <w:t>A. 50% accuracy</w:t>
      </w:r>
    </w:p>
    <w:p>
      <w:pPr>
        <w:pStyle w:val="ListBullet"/>
      </w:pPr>
      <w:r>
        <w:rPr>
          <w:color w:val="333333"/>
          <w:sz w:val="22"/>
        </w:rPr>
        <w:t>B. 5-15 percentage points on hard queries   [correct]</w:t>
      </w:r>
    </w:p>
    <w:p>
      <w:pPr>
        <w:pStyle w:val="ListBullet"/>
      </w:pPr>
      <w:r>
        <w:rPr>
          <w:color w:val="333333"/>
          <w:sz w:val="22"/>
        </w:rPr>
        <w:t>C. Negative gains</w:t>
      </w:r>
    </w:p>
    <w:p>
      <w:pPr>
        <w:pStyle w:val="ListBullet"/>
      </w:pPr>
      <w:r>
        <w:rPr>
          <w:color w:val="333333"/>
          <w:sz w:val="22"/>
        </w:rPr>
        <w:t>D. 100%</w:t>
      </w:r>
    </w:p>
    <w:p>
      <w:r>
        <w:rPr>
          <w:color w:val="333333"/>
          <w:sz w:val="22"/>
        </w:rPr>
        <w:t>Explanation: Marginal but meaningful gains.</w:t>
      </w:r>
    </w:p>
    <w:p>
      <w:r>
        <w:rPr>
          <w:b/>
          <w:color w:val="1E2761"/>
          <w:sz w:val="26"/>
        </w:rPr>
        <w:t>Q7. Text-to-SQL pipeline stages include:</w:t>
      </w:r>
    </w:p>
    <w:p>
      <w:pPr>
        <w:pStyle w:val="ListBullet"/>
      </w:pPr>
      <w:r>
        <w:rPr>
          <w:color w:val="333333"/>
          <w:sz w:val="22"/>
        </w:rPr>
        <w:t>A. Schema retrieval, planning, generation, verification, execution   [correct]</w:t>
      </w:r>
    </w:p>
    <w:p>
      <w:pPr>
        <w:pStyle w:val="ListBullet"/>
      </w:pPr>
      <w:r>
        <w:rPr>
          <w:color w:val="333333"/>
          <w:sz w:val="22"/>
        </w:rPr>
        <w:t>B. Tokenization only</w:t>
      </w:r>
    </w:p>
    <w:p>
      <w:pPr>
        <w:pStyle w:val="ListBullet"/>
      </w:pPr>
      <w:r>
        <w:rPr>
          <w:color w:val="333333"/>
          <w:sz w:val="22"/>
        </w:rPr>
        <w:t>C. Image classification</w:t>
      </w:r>
    </w:p>
    <w:p>
      <w:pPr>
        <w:pStyle w:val="ListBullet"/>
      </w:pPr>
      <w:r>
        <w:rPr>
          <w:color w:val="333333"/>
          <w:sz w:val="22"/>
        </w:rPr>
        <w:t>D. Pretraining</w:t>
      </w:r>
    </w:p>
    <w:p>
      <w:r>
        <w:rPr>
          <w:color w:val="333333"/>
          <w:sz w:val="22"/>
        </w:rPr>
        <w:t>Explanation: Five canonical stages.</w:t>
      </w:r>
    </w:p>
    <w:p>
      <w:r>
        <w:rPr>
          <w:b/>
          <w:color w:val="1E2761"/>
          <w:sz w:val="26"/>
        </w:rPr>
        <w:t>Q8. MCP capability negotiation happens:</w:t>
      </w:r>
    </w:p>
    <w:p>
      <w:pPr>
        <w:pStyle w:val="ListBullet"/>
      </w:pPr>
      <w:r>
        <w:rPr>
          <w:color w:val="333333"/>
          <w:sz w:val="22"/>
        </w:rPr>
        <w:t>A. Per call</w:t>
      </w:r>
    </w:p>
    <w:p>
      <w:pPr>
        <w:pStyle w:val="ListBullet"/>
      </w:pPr>
      <w:r>
        <w:rPr>
          <w:color w:val="333333"/>
          <w:sz w:val="22"/>
        </w:rPr>
        <w:t>B. At session startup   [correct]</w:t>
      </w:r>
    </w:p>
    <w:p>
      <w:pPr>
        <w:pStyle w:val="ListBullet"/>
      </w:pPr>
      <w:r>
        <w:rPr>
          <w:color w:val="333333"/>
          <w:sz w:val="22"/>
        </w:rPr>
        <w:t>C. Never</w:t>
      </w:r>
    </w:p>
    <w:p>
      <w:pPr>
        <w:pStyle w:val="ListBullet"/>
      </w:pPr>
      <w:r>
        <w:rPr>
          <w:color w:val="333333"/>
          <w:sz w:val="22"/>
        </w:rPr>
        <w:t>D. On failure only</w:t>
      </w:r>
    </w:p>
    <w:p>
      <w:r>
        <w:rPr>
          <w:color w:val="333333"/>
          <w:sz w:val="22"/>
        </w:rPr>
        <w:t>Explanation: Session-level handshake.</w:t>
      </w:r>
    </w:p>
    <w:p>
      <w:r>
        <w:rPr>
          <w:b/>
          <w:color w:val="1E2761"/>
          <w:sz w:val="26"/>
        </w:rPr>
        <w:t>Q9. Agent specialization pattern 'router' picks:</w:t>
      </w:r>
    </w:p>
    <w:p>
      <w:pPr>
        <w:pStyle w:val="ListBullet"/>
      </w:pPr>
      <w:r>
        <w:rPr>
          <w:color w:val="333333"/>
          <w:sz w:val="22"/>
        </w:rPr>
        <w:t>A. Random specialist</w:t>
      </w:r>
    </w:p>
    <w:p>
      <w:pPr>
        <w:pStyle w:val="ListBullet"/>
      </w:pPr>
      <w:r>
        <w:rPr>
          <w:color w:val="333333"/>
          <w:sz w:val="22"/>
        </w:rPr>
        <w:t>B. The right specialist agent for the input   [correct]</w:t>
      </w:r>
    </w:p>
    <w:p>
      <w:pPr>
        <w:pStyle w:val="ListBullet"/>
      </w:pPr>
      <w:r>
        <w:rPr>
          <w:color w:val="333333"/>
          <w:sz w:val="22"/>
        </w:rPr>
        <w:t>C. All specialists at once</w:t>
      </w:r>
    </w:p>
    <w:p>
      <w:pPr>
        <w:pStyle w:val="ListBullet"/>
      </w:pPr>
      <w:r>
        <w:rPr>
          <w:color w:val="333333"/>
          <w:sz w:val="22"/>
        </w:rPr>
        <w:t>D. No specialists</w:t>
      </w:r>
    </w:p>
    <w:p>
      <w:r>
        <w:rPr>
          <w:color w:val="333333"/>
          <w:sz w:val="22"/>
        </w:rPr>
        <w:t>Explanation: Classifier-based routing.</w:t>
      </w:r>
    </w:p>
    <w:p>
      <w:r>
        <w:rPr>
          <w:b/>
          <w:color w:val="1E2761"/>
          <w:sz w:val="26"/>
        </w:rPr>
        <w:t>Q10. SQL verification step typically:</w:t>
      </w:r>
    </w:p>
    <w:p>
      <w:pPr>
        <w:pStyle w:val="ListBullet"/>
      </w:pPr>
      <w:r>
        <w:rPr>
          <w:color w:val="333333"/>
          <w:sz w:val="22"/>
        </w:rPr>
        <w:t>A. Runs the query immediately</w:t>
      </w:r>
    </w:p>
    <w:p>
      <w:pPr>
        <w:pStyle w:val="ListBullet"/>
      </w:pPr>
      <w:r>
        <w:rPr>
          <w:color w:val="333333"/>
          <w:sz w:val="22"/>
        </w:rPr>
        <w:t>B. Checks syntax and table/column existence before execution   [correct]</w:t>
      </w:r>
    </w:p>
    <w:p>
      <w:pPr>
        <w:pStyle w:val="ListBullet"/>
      </w:pPr>
      <w:r>
        <w:rPr>
          <w:color w:val="333333"/>
          <w:sz w:val="22"/>
        </w:rPr>
        <w:t>C. Skips checking</w:t>
      </w:r>
    </w:p>
    <w:p>
      <w:pPr>
        <w:pStyle w:val="ListBullet"/>
      </w:pPr>
      <w:r>
        <w:rPr>
          <w:color w:val="333333"/>
          <w:sz w:val="22"/>
        </w:rPr>
        <w:t>D. Reformats SQL</w:t>
      </w:r>
    </w:p>
    <w:p>
      <w:r>
        <w:rPr>
          <w:color w:val="333333"/>
          <w:sz w:val="22"/>
        </w:rPr>
        <w:t>Explanation: Pre-execution validation.</w:t>
      </w:r>
    </w:p>
    <w:p>
      <w:r>
        <w:rPr>
          <w:b/>
          <w:color w:val="1E2761"/>
          <w:sz w:val="26"/>
        </w:rPr>
        <w:t>Q11. Agentic RAG's termination condition is:</w:t>
      </w:r>
    </w:p>
    <w:p>
      <w:pPr>
        <w:pStyle w:val="ListBullet"/>
      </w:pPr>
      <w:r>
        <w:rPr>
          <w:color w:val="333333"/>
          <w:sz w:val="22"/>
        </w:rPr>
        <w:t>A. User clicks stop</w:t>
      </w:r>
    </w:p>
    <w:p>
      <w:pPr>
        <w:pStyle w:val="ListBullet"/>
      </w:pPr>
      <w:r>
        <w:rPr>
          <w:color w:val="333333"/>
          <w:sz w:val="22"/>
        </w:rPr>
        <w:t>B. An answer, refusal, or max-iteration cap   [correct]</w:t>
      </w:r>
    </w:p>
    <w:p>
      <w:pPr>
        <w:pStyle w:val="ListBullet"/>
      </w:pPr>
      <w:r>
        <w:rPr>
          <w:color w:val="333333"/>
          <w:sz w:val="22"/>
        </w:rPr>
        <w:t>C. Random</w:t>
      </w:r>
    </w:p>
    <w:p>
      <w:pPr>
        <w:pStyle w:val="ListBullet"/>
      </w:pPr>
      <w:r>
        <w:rPr>
          <w:color w:val="333333"/>
          <w:sz w:val="22"/>
        </w:rPr>
        <w:t>D. Token count only</w:t>
      </w:r>
    </w:p>
    <w:p>
      <w:r>
        <w:rPr>
          <w:color w:val="333333"/>
          <w:sz w:val="22"/>
        </w:rPr>
        <w:t>Explanation: Defined termination.</w:t>
      </w:r>
    </w:p>
    <w:p>
      <w:r>
        <w:rPr>
          <w:b/>
          <w:color w:val="1E2761"/>
          <w:sz w:val="26"/>
        </w:rPr>
        <w:t>Q12. Schema retrieval embeds:</w:t>
      </w:r>
    </w:p>
    <w:p>
      <w:pPr>
        <w:pStyle w:val="ListBullet"/>
      </w:pPr>
      <w:r>
        <w:rPr>
          <w:color w:val="333333"/>
          <w:sz w:val="22"/>
        </w:rPr>
        <w:t>A. Table data</w:t>
      </w:r>
    </w:p>
    <w:p>
      <w:pPr>
        <w:pStyle w:val="ListBullet"/>
      </w:pPr>
      <w:r>
        <w:rPr>
          <w:color w:val="333333"/>
          <w:sz w:val="22"/>
        </w:rPr>
        <w:t>B. Table descriptions and column names   [correct]</w:t>
      </w:r>
    </w:p>
    <w:p>
      <w:pPr>
        <w:pStyle w:val="ListBullet"/>
      </w:pPr>
      <w:r>
        <w:rPr>
          <w:color w:val="333333"/>
          <w:sz w:val="22"/>
        </w:rPr>
        <w:t>C. Query history only</w:t>
      </w:r>
    </w:p>
    <w:p>
      <w:pPr>
        <w:pStyle w:val="ListBullet"/>
      </w:pPr>
      <w:r>
        <w:rPr>
          <w:color w:val="333333"/>
          <w:sz w:val="22"/>
        </w:rPr>
        <w:t>D. User IDs</w:t>
      </w:r>
    </w:p>
    <w:p>
      <w:r>
        <w:rPr>
          <w:color w:val="333333"/>
          <w:sz w:val="22"/>
        </w:rPr>
        <w:t>Explanation: Metadata embeddings.</w:t>
      </w:r>
    </w:p>
    <w:p>
      <w:r>
        <w:rPr>
          <w:b/>
          <w:color w:val="1E2761"/>
          <w:sz w:val="32"/>
        </w:rPr>
        <w:t>Part B: Short Answer</w:t>
      </w:r>
    </w:p>
    <w:p>
      <w:r>
        <w:rPr>
          <w:b/>
          <w:color w:val="1E2761"/>
          <w:sz w:val="26"/>
        </w:rPr>
        <w:t>S1. Sketch an agentic RAG that beats static RAG by 10 points on multi-hop questions.</w:t>
      </w:r>
    </w:p>
    <w:p>
      <w:r>
        <w:rPr>
          <w:color w:val="333333"/>
          <w:sz w:val="22"/>
        </w:rPr>
        <w:t>Model answer: Use a planner-executor loop: decompose the question into sub-queries, retrieve per hop, reflect on whether the evidence answers the question, and issue follow-up queries until done or a step cap hits. Tools: retriever, entity lookup, and a notes scratchpad. The multi-hop gain comes from issuing the second-hop query with the first-hop answer in hand, which static single-shot retrieval cannot do. Verify on a 50-question multi-hop set against the static baseline.</w:t>
      </w:r>
    </w:p>
    <w:p>
      <w:r>
        <w:rPr>
          <w:b/>
          <w:color w:val="1E2761"/>
          <w:sz w:val="26"/>
        </w:rPr>
        <w:t>S2. Design a CTE library for a finance schema and pick 5 starter CTEs.</w:t>
      </w:r>
    </w:p>
    <w:p>
      <w:r>
        <w:rPr>
          <w:color w:val="333333"/>
          <w:sz w:val="22"/>
        </w:rPr>
        <w:t>Model answer: A CTE library is a versioned set of named, tested SQL building blocks that encode business definitions, so the Text-to-SQL agent composes vetted pieces instead of inventing joins. Starter five for finance: active_customers, monthly_revenue (recognized revenue by month), arr_by_account, churned_accounts (with churn date and reason), and ledger_normalized (sign-corrected journal entries). Each CTE ships with a docstring, an owner, and a unit test the agent can read.</w:t>
      </w:r>
    </w:p>
    <w:p>
      <w:r>
        <w:rPr>
          <w:b/>
          <w:color w:val="1E2761"/>
          <w:sz w:val="26"/>
        </w:rPr>
        <w:t>S3. Pick when RL helps Text-to-SQL and when SFT alone is enough.</w:t>
      </w:r>
    </w:p>
    <w:p>
      <w:r>
        <w:rPr>
          <w:color w:val="333333"/>
          <w:sz w:val="22"/>
        </w:rPr>
        <w:t>Model answer: SFT alone is enough when you have abundant correct (question, SQL) pairs in the target dialect and a stable schema; supervised learning captures the mapping directly. RL (GRPO with execution accuracy as the verifier) helps when labeled SQL is scarce but candidates can be executed against the database, because execution provides a cheap reward over compositions SFT never saw. RL on top of a weak SFT base mostly amplifies noise.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333333"/>
        <w:sz w:val="18"/>
      </w:rPr>
      <w:t>© 2026 Proxiant Academy | info@proxiant.com | proxiant.ai/training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