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  <w:rPr>
          <w:rFonts w:ascii="Arial" w:cs="Arial" w:eastAsia="Arial" w:hAnsi="Arial"/>
          <w:b/>
          <w:bCs/>
          <w:color w:val="1B365D"/>
          <w:sz w:val="3200"/>
          <w:szCs w:val="3200"/>
        </w:rPr>
      </w:pPr>
      <w:r>
        <w:t xml:space="preserve">Proxiant Academy</w:t>
      </w:r>
    </w:p>
    <w:p>
      <w:pPr>
        <w:spacing w:after="400"/>
        <w:jc w:val="center"/>
        <w:rPr>
          <w:rFonts w:ascii="Arial" w:cs="Arial" w:eastAsia="Arial" w:hAnsi="Arial"/>
          <w:b/>
          <w:bCs/>
          <w:color w:val="1B365D"/>
          <w:sz w:val="2800"/>
          <w:szCs w:val="2800"/>
        </w:rPr>
      </w:pPr>
      <w:r>
        <w:t>PCAIP Certification: Answer Key</w:t>
      </w:r>
    </w:p>
    <w:p>
      <w:pPr>
        <w:spacing w:after="800"/>
        <w:jc w:val="center"/>
        <w:rPr>
          <w:rFonts w:ascii="Arial" w:cs="Arial" w:eastAsia="Arial" w:hAnsi="Arial"/>
          <w:b/>
          <w:bCs/>
          <w:color w:val="FF0000"/>
          <w:sz w:val="2000"/>
          <w:szCs w:val="2000"/>
        </w:rPr>
      </w:pPr>
      <w:r>
        <w:t>CONFIDENTIAL: Instructor Use Only</w:t>
      </w:r>
    </w:p>
    <w:p>
      <w:pPr>
        <w:spacing w:after="200"/>
        <w:rPr>
          <w:rFonts w:ascii="Arial" w:cs="Arial" w:eastAsia="Arial" w:hAnsi="Arial"/>
          <w:b/>
          <w:bCs/>
          <w:color w:val="1B365D"/>
          <w:sz w:val="2400"/>
          <w:szCs w:val="2400"/>
        </w:rPr>
      </w:pPr>
      <w:r>
        <w:t xml:space="preserve">SECTION A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Q1: Which ML taxonomy for equity price prediction?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A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Time series regression with autoregressive features captures temporal dependencies for price forecasting.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Q2: Cloud platform for 100GB transaction data - priority?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D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Compliance and DLP are non-negotiable; data residency ensures sensitive info stays in regulated jurisdictions.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Q3: Real-time credit risk pipeline approach?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B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Stream processing + feature store caches for sub-second latency needed for live credit decisions.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Q4: Prevent data leakage in portfolio features?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C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Time-aware CV: training precedes test with no overlap, respecting temporal causality.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Q5: Mortgage model - 15% worse for age 65+?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A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Age discrimination violates fair lending laws. Implement fairness constraints, audits, and explainability.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Q6: Essential before PCA on financial features?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C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PCA maximizes variance; standardization ensures equal contribution from features with different scales.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Q7: Missing values in portfolio NN prices?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C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Forward-fill preserves sequential info; threshold ensures data quality without losing time series structure.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Q8: Income + income-to-debt ratio issue?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A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Perfect correlation creates unstable coefficients and reduced interpretability.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Q9: Real-time fraud &lt;100ms latency?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C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Redis/Memcached serve cached embeddings; batch pipelines pre-compute features offline.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Q10: Ensure pipeline reproducibility?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A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Version control, pinned deps, containerization ensure identical environments across machines.</w:t>
      </w:r>
    </w:p>
    <w:p>
      <w:pPr>
        <w:spacing w:after="200"/>
        <w:rPr>
          <w:rFonts w:ascii="Arial" w:cs="Arial" w:eastAsia="Arial" w:hAnsi="Arial"/>
          <w:b/>
          <w:bCs/>
          <w:color w:val="1B365D"/>
          <w:sz w:val="2400"/>
          <w:szCs w:val="2400"/>
        </w:rPr>
      </w:pPr>
      <w:r>
        <w:t xml:space="preserve">SECTION B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Q11: Logistic regression vs XGBoost?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D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LR has direct interpretability; XGB captures non-linearity but needs SHAP. Choose per regulatory trade-off.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Q12: Positive SHAP value means?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C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SHAP decomposes predictions; positive pushes above baseline mean.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Q13: Basel III credit model validation?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B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Comprehensive: stability across cycles, sensitivity analysis, backtesting, independent audit.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Q14: VaR vs ES?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B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VaR: "max loss at confidence?" ES: "loss if I exceed VaR?" VaR regulatory; ES superior for management.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Q15: RL for portfolio rebalancing?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A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Q-learning maps portfolio state to buy/hold/sell actions maximizing cumulative returns.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Q16: Isolation Forest anomaly key?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D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Anomalies rare/different, require fewer splits; normal dense points need many.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Q17: GNN fraud detection benefits?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A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GNNs model edges between accounts; capture circular transfers, money laundering rings.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Q18: Autoencoder anomaly threshold?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C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Threshold = percentile on normal training data; higher error indicates anomaly.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Q19: GAN stress scenarios?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A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GANs generate synthetic extreme scenarios augmenting traditional deterministic ones.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Q20: CCAR compliance?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B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Comprehensive: documentation, validation across recessions, stress testing, external audit.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Q21: Cross-institution model comparison?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D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Threshold-independent metrics robust to class imbalance and portfolio differences.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Q22: 1% PD observed vs 5% actual?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B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5x difference indicates drift from economic cycle, portfolio shift, or feature degradation.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Q23: Extreme portfolio losses?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C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Fat tails: use Student-t, Generalized Pareto, or Extreme Value Theory.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Q24: Operational risk vs LDA?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B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Rare events make LDA sparse; ML identifies signals, supplements data, enables scenarios.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Q25: EAD vs LGD?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D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Credit loss = PD × EAD × LGD where EAD=exposure, LGD=loss percentage.</w:t>
      </w:r>
    </w:p>
    <w:p>
      <w:pPr>
        <w:spacing w:after="200"/>
        <w:rPr>
          <w:rFonts w:ascii="Arial" w:cs="Arial" w:eastAsia="Arial" w:hAnsi="Arial"/>
          <w:b/>
          <w:bCs/>
          <w:color w:val="1B365D"/>
          <w:sz w:val="2400"/>
          <w:szCs w:val="2400"/>
        </w:rPr>
      </w:pPr>
      <w:r>
        <w:t xml:space="preserve">SECTION C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Q26: LSTM forget gate?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C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Forget gate multiplies cell state by sigmoid, solving vanishing gradient in RNNs.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Q27: TFT vs LSTM?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A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TFT: attention for importance, quantile regression, parallel processing (not sequential).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Q28: Stacking ensemble key?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B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Success requires low base correlation, meta-learner capacity, proper CV preventing leakage.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Q29: Conformal prediction?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C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Distribution-free intervals guaranteed to contain true value at specified probability.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Q30: Walk-forward vs k-fold TS?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B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Walk-forward: training precedes test; k-fold shuffles violating temporal order.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Q31: Equity forecast metric?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D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IC measures ranking: "do forecasts order assets correctly?" Crucial for portfolio construction.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Q32: Sharpe ratio?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A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Sharpe normalizes by risk; Sharpe &gt;1 is good. Enables comparison across strategies.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Q33: Max Drawdown?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A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Max peak-to-trough loss indicating crisis resilience.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Q34: AutoML time series limit?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C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Must enforce temporal order, feature engineering critical, space large. Domain expertise refines.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Q35: ARIMA d parameter?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B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Differencing removes trend; non-stationary series need d&gt;0.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Q36: Forecast combination?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D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Diverse models reduce variance; works only with uncorrelated errors.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Q37: Production residual monitoring?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B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Residuals detect concept drift, quality issues; trigger retraining.</w:t>
      </w:r>
    </w:p>
    <w:p>
      <w:pPr>
        <w:spacing w:after="200"/>
        <w:rPr>
          <w:rFonts w:ascii="Arial" w:cs="Arial" w:eastAsia="Arial" w:hAnsi="Arial"/>
          <w:b/>
          <w:bCs/>
          <w:color w:val="1B365D"/>
          <w:sz w:val="2400"/>
          <w:szCs w:val="2400"/>
        </w:rPr>
      </w:pPr>
      <w:r>
        <w:t xml:space="preserve">SECTION D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Q38: KYC automation burden?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A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OCR/NER, risk scoring, continuous re-eval reduce cost/time while maintaining compliance.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Q39: Transaction monitoring detect?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C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AML: structuring, unusual patterns, sanctions, PEPs. Context matters.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Q40: NER compliance?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B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Identifies PERSON/ORG/LOCATION for matching, beneficial owner ID, PEP flagging.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Q41: RAG regulatory?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D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Retrieve relevant text + LLM synthesis; improves accuracy, requires expert review.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Q42: Contract ML analysis?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B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Clause extraction, obligation parsing, anomaly flagging, risk scoring; reduces review, needs human verification.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Q43: SR 11-7?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A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Independent validation, documented assumptions, governance framework, risk controls.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Q44: XAI compliance?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C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GDPR right to explanation; XAI (SHAP/LIME) mandatory; black-box faces regulatory challenges.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Q45: Model monitoring mandatory?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B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Data/concept drift detected; regulators require monitoring + remediation plans.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Q46: 99% spec, 10% sens AML?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D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Sensitivity detects AML cases; 10% = catastrophic non-reporting risk.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Q47: Compliance AI bias?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B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Regulatory bodies require fair AI; bias risks violations, litigation. Mitigate: audit, balance.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Q48: SR 11-7 artifact?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C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Framework documents governance, validation, monitoring, escalation, roles.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Q49: RegTech LLM advantage?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A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Summarize rules, extract dates, cross-reference, flag impacts on models.</w:t>
      </w:r>
    </w:p>
    <w:p>
      <w:pPr>
        <w:spacing w:after="200"/>
        <w:rPr>
          <w:rFonts w:ascii="Arial" w:cs="Arial" w:eastAsia="Arial" w:hAnsi="Arial"/>
          <w:b/>
          <w:bCs/>
          <w:color w:val="1B365D"/>
          <w:sz w:val="2400"/>
          <w:szCs w:val="2400"/>
        </w:rPr>
      </w:pPr>
      <w:r>
        <w:t xml:space="preserve">SECTION E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Q50: MLflow tracking?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B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Critical for reproducibility, governance, audit trails.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Q51: Blue-green vs canary?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D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Blue-green instant; canary 5%→50% gradual with monitoring.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Q52: PSI drift detection?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B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PSI &gt;0.25 signals drift requiring investigation/retrain.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Q53: KL vs PSI?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C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PSI = symmetric KL, preferred for drift treating old/new equally.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Q54: Credit A/B test?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A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Randomize customer level, sufficient power, ≥2 weeks for business cycles.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Q55: CI/CD validation gate?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D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Automated gates: accuracy, regulatory, drift checks, security. Failures block merge.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Q56: Kubernetes serving?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B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Auto-scaling, self-healing, rolling updates zero downtime, service discovery.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Q57: Model registry?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A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Centralizes versioning, lineage, promotion workflow, rollback; mandatory regulated.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Q58: Concept drift?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D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Detect: declining AUROC, increasing error, non-white residuals. Retrain/update.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Q59: Feature store?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>Answer: C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Reuse, offline/online stores, consistency training/serving, prevents train-serve skew.</w:t>
      </w:r>
    </w:p>
    <w:p>
      <w:pPr>
        <w:spacing w:after="80"/>
        <w:rPr>
          <w:rFonts w:ascii="Arial" w:cs="Arial" w:eastAsia="Arial" w:hAnsi="Arial"/>
          <w:b/>
          <w:bCs/>
          <w:color w:val="1B365D"/>
          <w:sz w:val="2000"/>
          <w:szCs w:val="2000"/>
        </w:rPr>
      </w:pPr>
      <w:r>
        <w:t xml:space="preserve">Q60: Governance docs critical?</w:t>
      </w:r>
    </w:p>
    <w:p>
      <w:pPr>
        <w:spacing w:after="80"/>
        <w:rPr>
          <w:rFonts w:ascii="Arial" w:cs="Arial" w:eastAsia="Arial" w:hAnsi="Arial"/>
          <w:b/>
          <w:bCs/>
          <w:color w:val="4CAF50"/>
          <w:sz w:val="1900"/>
          <w:szCs w:val="1900"/>
        </w:rPr>
      </w:pPr>
      <w:r>
        <w:t xml:space="preserve">Answer: B</w:t>
      </w:r>
    </w:p>
    <w:p>
      <w:pPr>
        <w:spacing w:after="200"/>
        <w:rPr>
          <w:rFonts w:ascii="Arial" w:cs="Arial" w:eastAsia="Arial" w:hAnsi="Arial"/>
          <w:color w:val="333333"/>
          <w:sz w:val="1900"/>
          <w:szCs w:val="1900"/>
        </w:rPr>
      </w:pPr>
      <w:r>
        <w:t xml:space="preserve">Purpose, limits, methodology, metrics, validation, monitoring, history. Auditors require.</w:t>
      </w:r>
    </w:p>
    <w:p>
      <w:pPr>
        <w:spacing w:after="400"/>
      </w:pPr>
    </w:p>
    <w:p>
      <w:pPr>
        <w:spacing w:after="200"/>
        <w:rPr>
          <w:rFonts w:ascii="Arial" w:cs="Arial" w:eastAsia="Arial" w:hAnsi="Arial"/>
          <w:b/>
          <w:bCs/>
          <w:color w:val="1B365D"/>
          <w:sz w:val="2400"/>
          <w:szCs w:val="2400"/>
        </w:rPr>
      </w:pPr>
      <w:r>
        <w:t xml:space="preserve">SCORING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sz w:val="2000"/>
                <w:szCs w:val="2000"/>
              </w:rPr>
            </w:pPr>
            <w:r>
              <w:t xml:space="preserve">Sec</w:t>
            </w:r>
          </w:p>
        </w:tc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sz w:val="2000"/>
                <w:szCs w:val="2000"/>
              </w:rPr>
            </w:pPr>
            <w:r>
              <w:t xml:space="preserve">Q</w:t>
            </w:r>
          </w:p>
        </w:tc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sz w:val="2000"/>
                <w:szCs w:val="2000"/>
              </w:rPr>
            </w:pPr>
            <w:r>
              <w:t xml:space="preserve">Pts</w:t>
            </w:r>
          </w:p>
        </w:tc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sz w:val="2000"/>
                <w:szCs w:val="2000"/>
              </w:rPr>
            </w:pPr>
            <w:r>
              <w:t xml:space="preserve">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10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17%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B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25%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20%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12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20%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11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 w:val="false"/>
                <w:bCs w:val="false"/>
                <w:sz w:val="2000"/>
                <w:szCs w:val="2000"/>
              </w:rPr>
            </w:pPr>
            <w:r>
              <w:t xml:space="preserve">18%</w:t>
            </w:r>
          </w:p>
        </w:tc>
      </w:tr>
      <w:tr>
        <w:tc>
          <w:tcPr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sz w:val="2000"/>
                <w:szCs w:val="2000"/>
              </w:rPr>
            </w:pPr>
            <w:r>
              <w:t xml:space="preserve">TOTAL</w:t>
            </w:r>
          </w:p>
        </w:tc>
        <w:tc>
          <w:tcPr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sz w:val="2000"/>
                <w:szCs w:val="2000"/>
              </w:rPr>
            </w:pPr>
            <w:r>
              <w:t xml:space="preserve">60</w:t>
            </w:r>
          </w:p>
        </w:tc>
        <w:tc>
          <w:tcPr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sz w:val="2000"/>
                <w:szCs w:val="2000"/>
              </w:rPr>
            </w:pPr>
            <w:r>
              <w:t xml:space="preserve">60</w:t>
            </w:r>
          </w:p>
        </w:tc>
        <w:tc>
          <w:tcPr>
            <w:shd w:fill="E8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rPr>
                <w:rFonts w:ascii="Arial" w:cs="Arial" w:eastAsia="Arial" w:hAnsi="Arial"/>
                <w:b/>
                <w:bCs/>
                <w:sz w:val="2000"/>
                <w:szCs w:val="2000"/>
              </w:rPr>
            </w:pPr>
            <w:r>
              <w:t xml:space="preserve">100%</w:t>
            </w:r>
          </w:p>
        </w:tc>
      </w:tr>
    </w:tbl>
    <w:p>
      <w:pPr>
        <w:spacing w:after="200"/>
      </w:pPr>
      <w:r>
        <w:t xml:space="preserve">Pass: 70-79% | Merit: 80-89% | Distinction: 90-100%</w:t>
      </w:r>
    </w:p>
    <w:sectPr>
      <w:headerReference w:type="default" r:id="rId7"/>
      <w:footerReference w:type="default" r:id="rId8"/>
      <w:headerReference w:type="first" r:id="rId9"/>
      <w:footerReference w:type="first" r:id="rId10"/>
      <w:headerReference w:type="even" r:id="rId11"/>
      <w:footerReference w:type="even" r:id="rId12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2026-02-14T05:41:52.178Z</dcterms:created>
  <dcterms:modified xsi:type="dcterms:W3CDTF">2026-02-14T05:41:52.178Z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