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  <w:rPr>
          <w:rFonts w:ascii="Arial" w:cs="Arial" w:eastAsia="Arial" w:hAnsi="Arial"/>
          <w:b/>
          <w:bCs/>
          <w:color w:val="1B365D"/>
          <w:sz w:val="48"/>
          <w:szCs w:val="48"/>
        </w:rPr>
      </w:pPr>
      <w:r>
        <w:t xml:space="preserve">Proxiant Academy</w:t>
      </w:r>
    </w:p>
    <w:p>
      <w:pPr>
        <w:spacing w:after="600"/>
        <w:jc w:val="center"/>
        <w:rPr>
          <w:rFonts w:ascii="Arial" w:cs="Arial" w:eastAsia="Arial" w:hAnsi="Arial"/>
          <w:i/>
          <w:iCs/>
          <w:color w:val="2E86AB"/>
          <w:sz w:val="24"/>
          <w:szCs w:val="24"/>
        </w:rPr>
      </w:pPr>
      <w:r>
        <w:t xml:space="preserve">Master AI. Professionally.</w:t>
      </w:r>
    </w:p>
    <w:p>
      <w:pPr>
        <w:spacing w:after="400"/>
        <w:jc w:val="center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AI for Finance Course</w:t>
      </w:r>
    </w:p>
    <w:p>
      <w:pPr>
        <w:spacing w:after="80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Class 11: Production Deployment &amp; MLOps</w:t>
      </w:r>
    </w:p>
    <w:p>
      <w:pPr>
        <w:spacing w:after="1000"/>
        <w:jc w:val="center"/>
        <w:rPr>
          <w:rFonts w:ascii="Arial" w:cs="Arial" w:eastAsia="Arial" w:hAnsi="Arial"/>
          <w:i/>
          <w:iCs/>
          <w:color w:val="333333"/>
          <w:sz w:val="20"/>
          <w:szCs w:val="20"/>
        </w:rPr>
      </w:pPr>
      <w:r>
        <w:t xml:space="preserve">Comprehensive Notes &amp; Implementation Guide</w:t>
      </w:r>
    </w:p>
    <w:p>
      <w:pPr>
        <w:jc w:val="center"/>
        <w:rPr>
          <w:rFonts w:ascii="Arial" w:cs="Arial" w:eastAsia="Arial" w:hAnsi="Arial"/>
          <w:color w:val="333333"/>
          <w:sz w:val="20"/>
          <w:szCs w:val="20"/>
        </w:rPr>
      </w:pPr>
      <w:r>
        <w:t xml:space="preserve">Date: February 14, 2026</w:t>
      </w:r>
    </w:p>
    <w:r>
      <w:br w:type="page"/>
    </w:r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Learning Objectives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MLflow tracking and registry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Blue-green and canary deployment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Drift monitoring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A/B testing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CI/CD pipelines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Infrastructure as Code</w:t>
      </w:r>
    </w:p>
    <w:p>
      <w:pPr>
        <w:spacing w:after="24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MLOps &amp; Production Systems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MLflow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Logs parameters, metrics, artifacts. Tracking server persists; remote enables collaboration. Experiment comparisons identify best. Model registry versions with staging/production/archived. Transitions validate before promotion.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Blue-Green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Two identical environments in parallel. Current traffic on blue; green deploys new. Instant traffic switch (zero-downtime). Immediate rollback if issues. Load balancer manages routing.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Canary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Gradual traffic shift: 5% new model, monitor, increase to 25%/50%/100%. Catch segment-specific issues. Guardrail metrics (latency &lt; 100ms) auto-rollback. Conservative approach.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Drift Monitoring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Data drift: input distribution shifts. PSI &gt; 0.1 signals drift. KS test for continuous. Concept drift: target relationship changes. Detected by monitoring error. Triggers retraining.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A/B Testing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Compare old vs. new model on traffic. Randomization: user-level or request-level. Pre-specified metrics and guardrails. p-value &lt; 0.05 for significance.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Infrastructure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Terraform provisions reproducibly. Docker containerizes. Kubernetes orchestrates: pods, services, ingress. GPU scheduling. Auto-scaling on demand.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Key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Concept</w:t>
            </w:r>
          </w:p>
        </w:tc>
        <w:tc>
          <w:tcPr>
            <w:tcW w:type="dxa" w:w="70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MLflow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Experiment tracking and model registry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Blue-Green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Zero-downtime deployment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Canary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Gradual traffic shift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PSI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Drift detection metric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DAG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Pipeline orchestration</w:t>
            </w:r>
          </w:p>
        </w:tc>
      </w:tr>
    </w:tbl>
    <w:p>
      <w:pPr>
        <w:spacing w:after="240"/>
      </w:pPr>
    </w:p>
    <w:r>
      <w:br w:type="page"/>
    </w:r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MLflow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rPr>
                <w:rFonts w:ascii="Consolas" w:cs="Consolas" w:eastAsia="Consolas" w:hAnsi="Consolas"/>
                <w:color w:val="333333"/>
                <w:sz w:val="20"/>
                <w:szCs w:val="20"/>
              </w:rPr>
            </w:pPr>
            <w:r>
              <w:t xml:space="preserve">import mlflow
import xgboost as xgb
mlflow.set_experiment("Price_Forecasting")
with mlflow.start_run():
    mlflow.log_params({"n_estimators": 100, "max_depth": 6})
    model = xgb.XGBRegressor(n_estimators=100)
    model.fit(X_train, y_train)
    y_pred = model.predict(X_val)
    rmse = np.sqrt((y_val - y_pred) ** 2).mean()
    mlflow.log_metric("val_rmse", rmse)
    mlflow.sklearn.log_model(model, "model")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References &amp; Further Reading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[1] Sculley et al. (2015). Technical Debt in ML. NIPS.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[2] Polyzotis et al. (2019). Data Validation. SysML.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[3] MLflow, Kubeflow, SageMaker Docs.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Preview: Next Class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Class 12: Capstone &amp; Certification</w:t>
      </w:r>
    </w:p>
    <w:p>
      <w:pPr>
        <w:spacing w:after="20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>Present capstone projects. Review PCAIP exam. Career planning and industry trends.</w:t>
      </w:r>
    </w:p>
    <w:p>
      <w:pPr>
        <w:spacing w:after="12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• Topics to prepare: Presentation, Exam prep, Careers, Trends</w:t>
      </w:r>
    </w:p>
    <w:p/>
    <w:sectPr>
      <w:footerReference w:type="default" r:id="rId7"/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2026-02-14T05:38:00.097Z</dcterms:created>
  <dcterms:modified xsi:type="dcterms:W3CDTF">2026-02-14T05:38:00.097Z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