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  <w:rPr>
          <w:rFonts w:ascii="Arial" w:cs="Arial" w:eastAsia="Arial" w:hAnsi="Arial"/>
          <w:b/>
          <w:bCs/>
          <w:color w:val="1B365D"/>
          <w:sz w:val="48"/>
          <w:szCs w:val="48"/>
        </w:rPr>
      </w:pPr>
      <w:r>
        <w:t xml:space="preserve">Proxiant Academy</w:t>
      </w:r>
    </w:p>
    <w:p>
      <w:pPr>
        <w:spacing w:after="600"/>
        <w:jc w:val="center"/>
        <w:rPr>
          <w:rFonts w:ascii="Arial" w:cs="Arial" w:eastAsia="Arial" w:hAnsi="Arial"/>
          <w:i/>
          <w:iCs/>
          <w:color w:val="2E86AB"/>
          <w:sz w:val="24"/>
          <w:szCs w:val="24"/>
        </w:rPr>
      </w:pPr>
      <w:r>
        <w:t xml:space="preserve">Master AI. Professionally.</w:t>
      </w:r>
    </w:p>
    <w:p>
      <w:pPr>
        <w:spacing w:after="400"/>
        <w:jc w:val="center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AI for Finance Course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Class 12: Capstone Presentations &amp; Certification Review</w:t>
      </w:r>
    </w:p>
    <w:p>
      <w:pPr>
        <w:spacing w:after="1000"/>
        <w:jc w:val="center"/>
        <w:rPr>
          <w:rFonts w:ascii="Arial" w:cs="Arial" w:eastAsia="Arial" w:hAnsi="Arial"/>
          <w:i/>
          <w:iCs/>
          <w:color w:val="333333"/>
          <w:sz w:val="20"/>
          <w:szCs w:val="20"/>
        </w:rPr>
      </w:pPr>
      <w:r>
        <w:t xml:space="preserve">Comprehensive Notes &amp; Implementation Guide</w:t>
      </w:r>
    </w:p>
    <w:p>
      <w:pPr>
        <w:jc w:val="center"/>
        <w:rPr>
          <w:rFonts w:ascii="Arial" w:cs="Arial" w:eastAsia="Arial" w:hAnsi="Arial"/>
          <w:color w:val="333333"/>
          <w:sz w:val="20"/>
          <w:szCs w:val="20"/>
        </w:rPr>
      </w:pPr>
      <w:r>
        <w:t xml:space="preserve">Date: February 14, 2026</w:t>
      </w:r>
    </w:p>
    <w:r>
      <w:br w:type="page"/>
    </w:r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Learning Objectives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Structure capstone projects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Apply evaluation rubrics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Synthesize course concepts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>Prepare for PCAIP certification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Explore career pathways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Discuss industry trends</w:t>
      </w:r>
    </w:p>
    <w:p>
      <w:pPr>
        <w:spacing w:after="24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Capstone &amp; Career Development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Capstone Structure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Problem Statement (motivation, scope), Data Description, Methodology, Implementation, Results, Deployment Plan. 15-min presentation + 5 Q&amp;A. Emphasize results and insights.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Evaluation Rubric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Problem (15%): motivation, scope, relevance. Methodology (25%): algorithms, validation. Implementation (25%): code, reproducibility. Results (20%): improvements, analysis. Presentation (15%): clarity, defense.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Course Synthesis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Risk Analysis (1-6) → Forecasting (7-8) → Compliance (9-10) → MLOps (11). Capstone integrates all three pillars: mathematicians understand algorithms, engineers build systems, compliance validates.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>PCAIP Certification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100 multiple-choice, 3 hours, 70% pass. Valid 3 years. Topics: Foundations 15%, Risk 25%, Forecasting 20%, Compliance 20%, MLOps 20%. Scenario-based practical questions.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Exam Preparation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Review notes, solve practice problems, flashcards, timed practice exams. 1.8 min/question. Answer confident first, return to difficult. Avoid pitfalls: misreading, miscalculating.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Career Pathways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Quant Researcher (trading models), ML Engineer (deployment), AI Risk Officer (governance), RegTech Specialist (compliance), Chief AI Officer (strategy). Each emphasizes different skills.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Industry Trends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GenAI: LLMs analyzing documents. Quantum: optimization and sampling (5-10y+). Embedded AI: real-time. Regulation: EU AI Act, US frameworks. Banks prepare for audits.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Concept</w:t>
            </w:r>
          </w:p>
        </w:tc>
        <w:tc>
          <w:tcPr>
            <w:tcW w:type="dxa" w:w="70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Problem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Clear business motivation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Methodology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Algorithm choice and validation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Baseline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Benchmark for comparison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>PCAIP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100-question certification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RegTech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Compliance automation</w:t>
            </w:r>
          </w:p>
        </w:tc>
      </w:tr>
    </w:tbl>
    <w:p>
      <w:pPr>
        <w:spacing w:after="240"/>
      </w:pPr>
    </w:p>
    <w:r>
      <w:br w:type="page"/>
    </w:r>
    <w:p>
      <w:pPr>
        <w:pStyle w:val="Heading2"/>
        <w:spacing w:before="160" w:after="100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Exam Topic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744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Topic</w:t>
            </w:r>
          </w:p>
        </w:tc>
        <w:tc>
          <w:tcPr>
            <w:tcW w:type="dxa" w:w="1872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%</w:t>
            </w:r>
          </w:p>
        </w:tc>
        <w:tc>
          <w:tcPr>
            <w:tcW w:type="dxa" w:w="1872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Q</w:t>
            </w:r>
          </w:p>
        </w:tc>
        <w:tc>
          <w:tcPr>
            <w:tcW w:type="dxa" w:w="1872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Classes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Foundations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1-3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2,4-6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Forecasting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7-8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9-10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MLOps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11</w:t>
            </w:r>
          </w:p>
        </w:tc>
      </w:tr>
    </w:tbl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References &amp; Further Reading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[1] McKinsey AI Survey 2024.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[2] MIT Sloan: AI in Finance.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[3] EU AI Act.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[4] Board of Governors AI Framework.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[5] Quantum Computing in Finance.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[6] Generative AI in Finance.</w:t>
      </w:r>
    </w:p>
    <w:sectPr>
      <w:footerReference w:type="default" r:id="rId7"/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2026-02-14T05:38:00.104Z</dcterms:created>
  <dcterms:modified xsi:type="dcterms:W3CDTF">2026-02-14T05:38:00.104Z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