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E2761"/>
          <w:sz w:val="44"/>
        </w:rPr>
        <w:t>Week 10: Agentic RAG and Text2SQL</w:t>
      </w:r>
    </w:p>
    <w:p>
      <w:r>
        <w:rPr>
          <w:i/>
          <w:color w:val="333333"/>
          <w:sz w:val="28"/>
        </w:rPr>
        <w:t>Agent lifecycles, MCP, and SQL generation in production</w:t>
      </w:r>
    </w:p>
    <w:p>
      <w:r>
        <w:rPr>
          <w:i/>
          <w:color w:val="333333"/>
          <w:sz w:val="22"/>
        </w:rPr>
        <w:t>Main session date: Saturday, December 5, 2026</w:t>
      </w:r>
    </w:p>
    <w:p>
      <w:r>
        <w:rPr>
          <w:i/>
          <w:color w:val="333333"/>
          <w:sz w:val="22"/>
        </w:rPr>
        <w:t>LLM and Enterprise RAG Bootcamp | Proxiant Academy | Instructor: Pavan R</w:t>
      </w:r>
    </w:p>
    <w:p>
      <w:pPr>
        <w:pBdr>
          <w:bottom w:val="single" w:sz="6" w:space="1" w:color="1E2761"/>
        </w:pBdr>
      </w:pPr>
    </w:p>
    <w:p>
      <w:r>
        <w:rPr>
          <w:b/>
          <w:color w:val="1E2761"/>
          <w:sz w:val="32"/>
        </w:rPr>
        <w:t>Session Overview</w:t>
      </w:r>
    </w:p>
    <w:p>
      <w:r>
        <w:rPr>
          <w:color w:val="333333"/>
          <w:sz w:val="22"/>
        </w:rPr>
        <w:t>Two related topics. Agentic RAG: the agent decides what to retrieve and when. Text-to-SQL: the agent translates natural language into executable SQL. Both depend on tool integration (MCP) and good evaluation.</w:t>
      </w:r>
    </w:p>
    <w:p>
      <w:r>
        <w:rPr>
          <w:b/>
          <w:color w:val="1E2761"/>
          <w:sz w:val="26"/>
        </w:rPr>
        <w:t>Learning Objectives</w:t>
      </w:r>
    </w:p>
    <w:p>
      <w:pPr>
        <w:pStyle w:val="ListBullet"/>
      </w:pPr>
      <w:r>
        <w:rPr>
          <w:color w:val="333333"/>
          <w:sz w:val="22"/>
        </w:rPr>
        <w:t>Implement an agentic RAG that beats static RAG on multi-hop questions</w:t>
      </w:r>
    </w:p>
    <w:p>
      <w:pPr>
        <w:pStyle w:val="ListBullet"/>
      </w:pPr>
      <w:r>
        <w:rPr>
          <w:color w:val="333333"/>
          <w:sz w:val="22"/>
        </w:rPr>
        <w:t>Use MCP to expose tools cleanly to the agent</w:t>
      </w:r>
    </w:p>
    <w:p>
      <w:pPr>
        <w:pStyle w:val="ListBullet"/>
      </w:pPr>
      <w:r>
        <w:rPr>
          <w:color w:val="333333"/>
          <w:sz w:val="22"/>
        </w:rPr>
        <w:t>Build a Text-to-SQL system with schema uncertainty handling</w:t>
      </w:r>
    </w:p>
    <w:p>
      <w:pPr>
        <w:pStyle w:val="ListBullet"/>
      </w:pPr>
      <w:r>
        <w:rPr>
          <w:color w:val="333333"/>
          <w:sz w:val="22"/>
        </w:rPr>
        <w:t>Apply a CTE library to reduce SQL complexity</w:t>
      </w:r>
    </w:p>
    <w:p>
      <w:pPr>
        <w:pStyle w:val="ListBullet"/>
      </w:pPr>
      <w:r>
        <w:rPr>
          <w:color w:val="333333"/>
          <w:sz w:val="22"/>
        </w:rPr>
        <w:t>Reason about when RL helps SQL generation and when it does not</w:t>
      </w:r>
    </w:p>
    <w:p>
      <w:r>
        <w:br w:type="page"/>
      </w:r>
    </w:p>
    <w:p>
      <w:r>
        <w:rPr>
          <w:b/>
          <w:color w:val="1E2761"/>
          <w:sz w:val="32"/>
        </w:rPr>
        <w:t>Detailed Notes</w:t>
      </w:r>
    </w:p>
    <w:p>
      <w:r>
        <w:rPr>
          <w:b/>
          <w:color w:val="1E2761"/>
          <w:sz w:val="26"/>
        </w:rPr>
        <w:t>1. The agentic lifecycle</w:t>
      </w:r>
    </w:p>
    <w:p>
      <w:r>
        <w:rPr>
          <w:color w:val="333333"/>
          <w:sz w:val="22"/>
        </w:rPr>
        <w:t>Perceive the user's question. Plan the retrieval. Act (call tools). Observe results. Decide whether to continue or to answer. The loop has a defined termination condition: an answer, a refusal, or a max-iteration cap.</w:t>
      </w:r>
    </w:p>
    <w:p>
      <w:r>
        <w:rPr>
          <w:b/>
          <w:color w:val="1E2761"/>
          <w:sz w:val="26"/>
        </w:rPr>
        <w:t>2. Model Context Protocol (MCP)</w:t>
      </w:r>
    </w:p>
    <w:p>
      <w:r>
        <w:rPr>
          <w:color w:val="333333"/>
          <w:sz w:val="22"/>
        </w:rPr>
        <w:t>A clean abstraction for exposing tools to agents. Tool servers, JSON schemas, capability negotiation. FastMCP wraps it with decorator-style Python. The right default for new tool integrations.</w:t>
      </w:r>
    </w:p>
    <w:p>
      <w:r>
        <w:rPr>
          <w:b/>
          <w:color w:val="1E2761"/>
          <w:sz w:val="26"/>
        </w:rPr>
        <w:t>3. Agent specialization patterns</w:t>
      </w:r>
    </w:p>
    <w:p>
      <w:r>
        <w:rPr>
          <w:color w:val="333333"/>
          <w:sz w:val="22"/>
        </w:rPr>
        <w:t>Generalist agent with many tools. Specialist per domain. Router that picks among specialists. Each pattern has a sweet spot. Generalist wins until tool selection saturates the model's bandwidth.</w:t>
      </w:r>
    </w:p>
    <w:p>
      <w:r>
        <w:rPr>
          <w:b/>
          <w:color w:val="1E2761"/>
          <w:sz w:val="26"/>
        </w:rPr>
        <w:t>4. Text-to-SQL architecture</w:t>
      </w:r>
    </w:p>
    <w:p>
      <w:r>
        <w:rPr>
          <w:color w:val="333333"/>
          <w:sz w:val="22"/>
        </w:rPr>
        <w:t>Stages: schema understanding, query planning, SQL generation, syntax verification, execution. Each stage can fail differently. Build checkpoints to isolate failures and fail fast.</w:t>
      </w:r>
    </w:p>
    <w:p>
      <w:r>
        <w:rPr>
          <w:color w:val="333333"/>
          <w:sz w:val="22"/>
        </w:rPr>
        <w:t>Reference snippet:</w:t>
      </w:r>
    </w:p>
    <w:p>
      <w:pPr>
        <w:spacing w:after="0" w:before="0"/>
      </w:pPr>
      <w:r>
        <w:rPr>
          <w:rFonts w:ascii="Consolas" w:hAnsi="Consolas"/>
          <w:color w:val="101010"/>
          <w:sz w:val="18"/>
        </w:rPr>
        <w:t>def text_to_sql(question, db):</w:t>
      </w:r>
    </w:p>
    <w:p>
      <w:pPr>
        <w:spacing w:after="0" w:before="0"/>
      </w:pPr>
      <w:r>
        <w:rPr>
          <w:rFonts w:ascii="Consolas" w:hAnsi="Consolas"/>
          <w:color w:val="101010"/>
          <w:sz w:val="18"/>
        </w:rPr>
        <w:t xml:space="preserve">    relevant_tables = schema_retriever(question, db)</w:t>
      </w:r>
    </w:p>
    <w:p>
      <w:pPr>
        <w:spacing w:after="0" w:before="0"/>
      </w:pPr>
      <w:r>
        <w:rPr>
          <w:rFonts w:ascii="Consolas" w:hAnsi="Consolas"/>
          <w:color w:val="101010"/>
          <w:sz w:val="18"/>
        </w:rPr>
        <w:t xml:space="preserve">    plan = planner(question, relevant_tables)</w:t>
      </w:r>
    </w:p>
    <w:p>
      <w:pPr>
        <w:spacing w:after="0" w:before="0"/>
      </w:pPr>
      <w:r>
        <w:rPr>
          <w:rFonts w:ascii="Consolas" w:hAnsi="Consolas"/>
          <w:color w:val="101010"/>
          <w:sz w:val="18"/>
        </w:rPr>
        <w:t xml:space="preserve">    sql = sql_generator(plan, relevant_tables)</w:t>
      </w:r>
    </w:p>
    <w:p>
      <w:pPr>
        <w:spacing w:after="0" w:before="0"/>
      </w:pPr>
      <w:r>
        <w:rPr>
          <w:rFonts w:ascii="Consolas" w:hAnsi="Consolas"/>
          <w:color w:val="101010"/>
          <w:sz w:val="18"/>
        </w:rPr>
        <w:t xml:space="preserve">    if not is_valid_sql(sql, db):</w:t>
      </w:r>
    </w:p>
    <w:p>
      <w:pPr>
        <w:spacing w:after="0" w:before="0"/>
      </w:pPr>
      <w:r>
        <w:rPr>
          <w:rFonts w:ascii="Consolas" w:hAnsi="Consolas"/>
          <w:color w:val="101010"/>
          <w:sz w:val="18"/>
        </w:rPr>
        <w:t xml:space="preserve">        sql = repair(sql, error, plan)</w:t>
      </w:r>
    </w:p>
    <w:p>
      <w:pPr>
        <w:spacing w:after="0" w:before="0"/>
      </w:pPr>
      <w:r>
        <w:rPr>
          <w:rFonts w:ascii="Consolas" w:hAnsi="Consolas"/>
          <w:color w:val="101010"/>
          <w:sz w:val="18"/>
        </w:rPr>
        <w:t xml:space="preserve">    return db.execute(sql)</w:t>
      </w:r>
    </w:p>
    <w:p>
      <w:pPr>
        <w:spacing w:after="0" w:before="0"/>
      </w:pPr>
      <w:r>
        <w:rPr>
          <w:rFonts w:ascii="Consolas" w:hAnsi="Consolas"/>
          <w:color w:val="101010"/>
          <w:sz w:val="18"/>
        </w:rPr>
        <w:t xml:space="preserve"> </w:t>
      </w:r>
    </w:p>
    <w:p>
      <w:r>
        <w:rPr>
          <w:b/>
          <w:color w:val="1E2761"/>
          <w:sz w:val="26"/>
        </w:rPr>
        <w:t>5. Schema uncertainty</w:t>
      </w:r>
    </w:p>
    <w:p>
      <w:r>
        <w:rPr>
          <w:color w:val="333333"/>
          <w:sz w:val="22"/>
        </w:rPr>
        <w:t>Production schemas have hundreds of tables. The model cannot see them all. Embed table descriptions and column names. Retrieve relevant tables for the question. Pass only those to the SQL generator.</w:t>
      </w:r>
    </w:p>
    <w:p>
      <w:r>
        <w:rPr>
          <w:b/>
          <w:color w:val="1E2761"/>
          <w:sz w:val="26"/>
        </w:rPr>
        <w:t>6. CTE libraries</w:t>
      </w:r>
    </w:p>
    <w:p>
      <w:r>
        <w:rPr>
          <w:color w:val="333333"/>
          <w:sz w:val="22"/>
        </w:rPr>
        <w:t>Pre-built Common Table Expressions for recurring patterns: date ranges, customer segments, revenue calculations. The model composes from a known vocabulary. Reduces complexity and improves correctness.</w:t>
      </w:r>
    </w:p>
    <w:p>
      <w:r>
        <w:rPr>
          <w:b/>
          <w:color w:val="1E2761"/>
          <w:sz w:val="26"/>
        </w:rPr>
        <w:t>7. RL for SQL generation</w:t>
      </w:r>
    </w:p>
    <w:p>
      <w:r>
        <w:rPr>
          <w:color w:val="333333"/>
          <w:sz w:val="22"/>
        </w:rPr>
        <w:t>Reward = SQL executes + result rows match expected. RLVR fits naturally. Most gains come from base SFT (fine-tune on Spider, Bird, or in-house data); RL adds the last 5 to 15 percentage points on hard queries.</w:t>
      </w:r>
    </w:p>
    <w:p>
      <w:r>
        <w:br w:type="page"/>
      </w:r>
    </w:p>
    <w:p>
      <w:r>
        <w:rPr>
          <w:b/>
          <w:color w:val="1E2761"/>
          <w:sz w:val="32"/>
        </w:rPr>
        <w:t>Topics at a Glance</w:t>
      </w:r>
    </w:p>
    <w:p>
      <w:r>
        <w:rPr>
          <w:b/>
          <w:color w:val="333333"/>
          <w:sz w:val="24"/>
        </w:rPr>
        <w:t>1. The agentic lifecycle</w:t>
      </w:r>
    </w:p>
    <w:p>
      <w:r>
        <w:rPr>
          <w:color w:val="333333"/>
          <w:sz w:val="22"/>
        </w:rPr>
        <w:t>Perceive the user's question. Plan the retrieval. Act (call tools). Observe. Decide whether to continue or answer. The loop has a defined termination condition.</w:t>
      </w:r>
    </w:p>
    <w:p>
      <w:r>
        <w:rPr>
          <w:b/>
          <w:color w:val="333333"/>
          <w:sz w:val="24"/>
        </w:rPr>
        <w:t>2. Model Context Protocol (MCP)</w:t>
      </w:r>
    </w:p>
    <w:p>
      <w:r>
        <w:rPr>
          <w:color w:val="333333"/>
          <w:sz w:val="22"/>
        </w:rPr>
        <w:t>A clean abstraction for exposing tools to agents. Tool servers, JSON schemas, capability negotiation. The right default for new tool integrations.</w:t>
      </w:r>
    </w:p>
    <w:p>
      <w:r>
        <w:rPr>
          <w:b/>
          <w:color w:val="333333"/>
          <w:sz w:val="24"/>
        </w:rPr>
        <w:t>3. Agent specialization patterns</w:t>
      </w:r>
    </w:p>
    <w:p>
      <w:r>
        <w:rPr>
          <w:color w:val="333333"/>
          <w:sz w:val="22"/>
        </w:rPr>
        <w:t>Generalist with many tools. Specialist per domain. Router that picks among specialists. Each pattern has a sweet spot in cost and quality.</w:t>
      </w:r>
    </w:p>
    <w:p>
      <w:r>
        <w:rPr>
          <w:b/>
          <w:color w:val="333333"/>
          <w:sz w:val="24"/>
        </w:rPr>
        <w:t>4. Text-to-SQL architecture</w:t>
      </w:r>
    </w:p>
    <w:p>
      <w:r>
        <w:rPr>
          <w:color w:val="333333"/>
          <w:sz w:val="22"/>
        </w:rPr>
        <w:t>Schema understanding, query planning, SQL generation, verification, execution. Each stage can fail differently; design checkpoints to isolate failures.</w:t>
      </w:r>
    </w:p>
    <w:p>
      <w:r>
        <w:rPr>
          <w:b/>
          <w:color w:val="333333"/>
          <w:sz w:val="24"/>
        </w:rPr>
        <w:t>5. Schema uncertainty</w:t>
      </w:r>
    </w:p>
    <w:p>
      <w:r>
        <w:rPr>
          <w:color w:val="333333"/>
          <w:sz w:val="22"/>
        </w:rPr>
        <w:t>Production schemas have hundreds of tables. The model cannot see all of them. Retrieve relevant tables first; pass only those to the SQL generator.</w:t>
      </w:r>
    </w:p>
    <w:p>
      <w:r>
        <w:rPr>
          <w:b/>
          <w:color w:val="333333"/>
          <w:sz w:val="24"/>
        </w:rPr>
        <w:t>6. CTE libraries</w:t>
      </w:r>
    </w:p>
    <w:p>
      <w:r>
        <w:rPr>
          <w:color w:val="333333"/>
          <w:sz w:val="22"/>
        </w:rPr>
        <w:t>Pre-built Common Table Expressions for recurring patterns (date ranges, customer segments, revenue calculations). Reduces SQL complexity; the model composes from a known set.</w:t>
      </w:r>
    </w:p>
    <w:p>
      <w:r>
        <w:rPr>
          <w:b/>
          <w:color w:val="333333"/>
          <w:sz w:val="24"/>
        </w:rPr>
        <w:t>7. RL for SQL generation</w:t>
      </w:r>
    </w:p>
    <w:p>
      <w:r>
        <w:rPr>
          <w:color w:val="333333"/>
          <w:sz w:val="22"/>
        </w:rPr>
        <w:t>Reward = SQL executes + matches expected rows. RLVR fits naturally. Most gains come from base SFT; RL adds the last 5 to 15 percentage points.</w:t>
      </w:r>
    </w:p>
    <w:p>
      <w:r>
        <w:rPr>
          <w:b/>
          <w:color w:val="1E2761"/>
          <w:sz w:val="32"/>
        </w:rPr>
        <w:t>Research Papers</w:t>
      </w:r>
    </w:p>
    <w:p>
      <w:r>
        <w:rPr>
          <w:b/>
          <w:color w:val="333333"/>
          <w:sz w:val="24"/>
        </w:rPr>
        <w:t>Spider: A Large-Scale Human-Labeled Dataset for Complex SQL</w:t>
      </w:r>
    </w:p>
    <w:p>
      <w:r>
        <w:rPr>
          <w:color w:val="333333"/>
          <w:sz w:val="22"/>
        </w:rPr>
        <w:t>Yu et al., 2018 (arXiv:1809.08887).</w:t>
      </w:r>
    </w:p>
    <w:p>
      <w:r>
        <w:rPr>
          <w:b/>
          <w:color w:val="333333"/>
          <w:sz w:val="24"/>
        </w:rPr>
        <w:t>DIN-SQL: Decomposed In-Context Learning of Text-to-SQL</w:t>
      </w:r>
    </w:p>
    <w:p>
      <w:r>
        <w:rPr>
          <w:color w:val="333333"/>
          <w:sz w:val="22"/>
        </w:rPr>
        <w:t>Pourreza and Rafiei, 2023 (arXiv:2304.11015).</w:t>
      </w:r>
    </w:p>
    <w:p>
      <w:r>
        <w:rPr>
          <w:b/>
          <w:color w:val="1E2761"/>
          <w:sz w:val="32"/>
        </w:rPr>
        <w:t>This Week's Labs</w:t>
      </w:r>
    </w:p>
    <w:p>
      <w:r>
        <w:rPr>
          <w:b/>
          <w:color w:val="333333"/>
          <w:sz w:val="24"/>
        </w:rPr>
        <w:t>Semantic cache plus agentic RAG</w:t>
      </w:r>
    </w:p>
    <w:p>
      <w:r>
        <w:rPr>
          <w:color w:val="333333"/>
          <w:sz w:val="22"/>
        </w:rPr>
        <w:t>Objective: Layer semantic caching under an agentic RAG. Measure cache hit rate and end-to-end cost on a 200-question test.</w:t>
      </w:r>
    </w:p>
    <w:p>
      <w:r>
        <w:rPr>
          <w:color w:val="333333"/>
          <w:sz w:val="22"/>
        </w:rPr>
        <w:t>Deliverables: Comparison table and a writeup on cache-agent interaction edge cases.</w:t>
      </w:r>
    </w:p>
    <w:p>
      <w:r>
        <w:rPr>
          <w:b/>
          <w:color w:val="333333"/>
          <w:sz w:val="24"/>
        </w:rPr>
        <w:t>ADK, MCP, and A2A condensed</w:t>
      </w:r>
    </w:p>
    <w:p>
      <w:r>
        <w:rPr>
          <w:color w:val="333333"/>
          <w:sz w:val="22"/>
        </w:rPr>
        <w:t>Objective: Build a Text-to-SQL agent using Google ADK with MCP for tool exposure. Add an A2A endpoint for cross-team consumption.</w:t>
      </w:r>
    </w:p>
    <w:p>
      <w:r>
        <w:rPr>
          <w:color w:val="333333"/>
          <w:sz w:val="22"/>
        </w:rPr>
        <w:t>Deliverables: Working source, sample call traces, and a one-page architecture diagram.</w:t>
      </w:r>
    </w:p>
    <w:p>
      <w:r>
        <w:rPr>
          <w:b/>
          <w:color w:val="1E2761"/>
          <w:sz w:val="32"/>
        </w:rPr>
        <w:t>Review Questions</w:t>
      </w:r>
    </w:p>
    <w:p>
      <w:pPr>
        <w:pStyle w:val="ListBullet"/>
      </w:pPr>
      <w:r>
        <w:rPr>
          <w:color w:val="333333"/>
          <w:sz w:val="22"/>
        </w:rPr>
        <w:t>When does agentic RAG beat static RAG, and by how much typically?</w:t>
      </w:r>
    </w:p>
    <w:p>
      <w:pPr>
        <w:pStyle w:val="ListBullet"/>
      </w:pPr>
      <w:r>
        <w:rPr>
          <w:color w:val="333333"/>
          <w:sz w:val="22"/>
        </w:rPr>
        <w:t>Why is MCP a better tool abstraction than ad-hoc function calling?</w:t>
      </w:r>
    </w:p>
    <w:p>
      <w:pPr>
        <w:pStyle w:val="ListBullet"/>
      </w:pPr>
      <w:r>
        <w:rPr>
          <w:color w:val="333333"/>
          <w:sz w:val="22"/>
        </w:rPr>
        <w:t>Pick a schema scale where schema retrieval becomes mandatory.</w:t>
      </w:r>
    </w:p>
    <w:p>
      <w:pPr>
        <w:pStyle w:val="ListBullet"/>
      </w:pPr>
      <w:r>
        <w:rPr>
          <w:color w:val="333333"/>
          <w:sz w:val="22"/>
        </w:rPr>
        <w:t>Design a verifier for SQL generation in a finance domain.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333333"/>
        <w:sz w:val="18"/>
      </w:rPr>
      <w:t>© 2026 Proxiant Academy | info@proxiant.com | proxiant.ai/training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