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Research Paper Reading Guide</w:t>
      </w:r>
    </w:p>
    <w:p>
      <w:r>
        <w:rPr>
          <w:i/>
          <w:color w:val="333333"/>
          <w:sz w:val="28"/>
        </w:rPr>
        <w:t>Towards Enterprise RAG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Precise Zero-Shot Dense Retrieval without Relevance Labels</w:t>
      </w:r>
    </w:p>
    <w:p>
      <w:r>
        <w:rPr>
          <w:color w:val="333333"/>
          <w:sz w:val="22"/>
        </w:rPr>
        <w:t>Gao et al., 2022 (arXiv:2212.10496). The HyDE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MultiHop-RAG: Benchmarking Retrieval-Augmented Generation for Multi-Hop Queries</w:t>
      </w:r>
    </w:p>
    <w:p>
      <w:r>
        <w:rPr>
          <w:color w:val="333333"/>
          <w:sz w:val="22"/>
        </w:rPr>
        <w:t>Tang and Yang, 2024 (arXiv:2401.15391).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