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Research Paper Reading Guide</w:t>
      </w:r>
    </w:p>
    <w:p>
      <w:r>
        <w:rPr>
          <w:i/>
          <w:color w:val="333333"/>
          <w:sz w:val="28"/>
        </w:rPr>
        <w:t>Agentic RAG and Text2SQL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Spider: A Large-Scale Human-Labeled Dataset for Complex SQL</w:t>
      </w:r>
    </w:p>
    <w:p>
      <w:r>
        <w:rPr>
          <w:color w:val="333333"/>
          <w:sz w:val="22"/>
        </w:rPr>
        <w:t>Yu et al., 2018 (arXiv:1809.08887).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DIN-SQL: Decomposed In-Context Learning of Text-to-SQL</w:t>
      </w:r>
    </w:p>
    <w:p>
      <w:r>
        <w:rPr>
          <w:color w:val="333333"/>
          <w:sz w:val="22"/>
        </w:rPr>
        <w:t>Pourreza and Rafiei, 2023 (arXiv:2304.11015).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