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Research Paper Reading Guide</w:t>
      </w:r>
    </w:p>
    <w:p>
      <w:r>
        <w:rPr>
          <w:i/>
          <w:color w:val="333333"/>
          <w:sz w:val="28"/>
        </w:rPr>
        <w:t>Fine-Tuning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Training Compute-Optimal Large Language Models</w:t>
      </w:r>
    </w:p>
    <w:p>
      <w:r>
        <w:rPr>
          <w:color w:val="333333"/>
          <w:sz w:val="22"/>
        </w:rPr>
        <w:t>Hoffmann et al., 2022 (arXiv:2203.15556). The Chinchilla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LoRA: Low-Rank Adaptation of Large Language Models</w:t>
      </w:r>
    </w:p>
    <w:p>
      <w:r>
        <w:rPr>
          <w:color w:val="333333"/>
          <w:sz w:val="22"/>
        </w:rPr>
        <w:t>Hu et al., 2021 (arXiv:2106.09685).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DeepSeekMath: Pushing the Limits of Mathematical Reasoning in Open Language Models</w:t>
      </w:r>
    </w:p>
    <w:p>
      <w:r>
        <w:rPr>
          <w:color w:val="333333"/>
          <w:sz w:val="22"/>
        </w:rPr>
        <w:t>Shao et al., 2024 (arXiv:2402.03300). Introduces GRPO.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