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4"/>
        </w:rPr>
        <w:t>Week 4 Project Brief: Reference Solution Sketch</w:t>
      </w:r>
    </w:p>
    <w:p>
      <w:r>
        <w:rPr>
          <w:i/>
          <w:color w:val="333333"/>
          <w:sz w:val="28"/>
        </w:rPr>
        <w:t>Four-stage retrieval funnel end to end</w:t>
      </w:r>
    </w:p>
    <w:p>
      <w:r>
        <w:rPr>
          <w:i/>
          <w:color w:val="333333"/>
          <w:sz w:val="22"/>
        </w:rPr>
        <w:t>Bootcamp theme: Retrieval Funnel | Due next Saturday | Instructor: Pavan R</w:t>
      </w:r>
    </w:p>
    <w:p>
      <w:pPr>
        <w:pBdr>
          <w:bottom w:val="single" w:sz="6" w:space="1" w:color="1E2761"/>
        </w:pBdr>
      </w:pPr>
    </w:p>
    <w:p>
      <w:r>
        <w:rPr>
          <w:b/>
          <w:color w:val="1E2761"/>
          <w:sz w:val="32"/>
        </w:rPr>
        <w:t>Project Summary</w:t>
      </w:r>
    </w:p>
    <w:p>
      <w:r>
        <w:rPr>
          <w:color w:val="333333"/>
          <w:sz w:val="22"/>
        </w:rPr>
        <w:t>Build the four-stage funnel (sparse + dense, Matryoshka prune, ColBERT, cross-encoder) on a 100K-document corpus. Tune candidate counts. Beat dense-only baseline by at least 5 points recall@5.</w:t>
      </w:r>
    </w:p>
    <w:p>
      <w:r>
        <w:rPr>
          <w:b/>
          <w:color w:val="1E2761"/>
          <w:sz w:val="32"/>
        </w:rPr>
        <w:t>Required Tools and Libraries</w:t>
      </w:r>
    </w:p>
    <w:p>
      <w:pPr>
        <w:pStyle w:val="ListBullet"/>
      </w:pPr>
      <w:r>
        <w:rPr>
          <w:color w:val="333333"/>
          <w:sz w:val="22"/>
        </w:rPr>
        <w:t>Pyserini (BM25)</w:t>
      </w:r>
    </w:p>
    <w:p>
      <w:pPr>
        <w:pStyle w:val="ListBullet"/>
      </w:pPr>
      <w:r>
        <w:rPr>
          <w:color w:val="333333"/>
          <w:sz w:val="22"/>
        </w:rPr>
        <w:t>Matryoshka embedder</w:t>
      </w:r>
    </w:p>
    <w:p>
      <w:pPr>
        <w:pStyle w:val="ListBullet"/>
      </w:pPr>
      <w:r>
        <w:rPr>
          <w:color w:val="333333"/>
          <w:sz w:val="22"/>
        </w:rPr>
        <w:t>RAGatouille (ColBERT)</w:t>
      </w:r>
    </w:p>
    <w:p>
      <w:pPr>
        <w:pStyle w:val="ListBullet"/>
      </w:pPr>
      <w:r>
        <w:rPr>
          <w:color w:val="333333"/>
          <w:sz w:val="22"/>
        </w:rPr>
        <w:t>sentence-transformers cross-encoder</w:t>
      </w:r>
    </w:p>
    <w:p>
      <w:r>
        <w:rPr>
          <w:b/>
          <w:color w:val="1E2761"/>
          <w:sz w:val="32"/>
        </w:rPr>
        <w:t>Deliverables</w:t>
      </w:r>
    </w:p>
    <w:p>
      <w:pPr>
        <w:pStyle w:val="ListBullet"/>
      </w:pPr>
      <w:r>
        <w:rPr>
          <w:color w:val="333333"/>
          <w:sz w:val="22"/>
        </w:rPr>
        <w:t>Full funnel implementation</w:t>
      </w:r>
    </w:p>
    <w:p>
      <w:pPr>
        <w:pStyle w:val="ListBullet"/>
      </w:pPr>
      <w:r>
        <w:rPr>
          <w:color w:val="333333"/>
          <w:sz w:val="22"/>
        </w:rPr>
        <w:t>Dense-only baseline</w:t>
      </w:r>
    </w:p>
    <w:p>
      <w:pPr>
        <w:pStyle w:val="ListBullet"/>
      </w:pPr>
      <w:r>
        <w:rPr>
          <w:color w:val="333333"/>
          <w:sz w:val="22"/>
        </w:rPr>
        <w:t>Eval on a 200-question set</w:t>
      </w:r>
    </w:p>
    <w:p>
      <w:pPr>
        <w:pStyle w:val="ListBullet"/>
      </w:pPr>
      <w:r>
        <w:rPr>
          <w:color w:val="333333"/>
          <w:sz w:val="22"/>
        </w:rPr>
        <w:t>Latency breakdown per stage</w:t>
      </w:r>
    </w:p>
    <w:p>
      <w:pPr>
        <w:pStyle w:val="ListBullet"/>
      </w:pPr>
      <w:r>
        <w:rPr>
          <w:color w:val="333333"/>
          <w:sz w:val="22"/>
        </w:rPr>
        <w:t>Tuning writeup with the rationale for each candidate count</w:t>
      </w:r>
    </w:p>
    <w:p>
      <w:r>
        <w:rPr>
          <w:b/>
          <w:color w:val="1E2761"/>
          <w:sz w:val="32"/>
        </w:rPr>
        <w:t>Grading Rubric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456"/>
            <w:shd w:fill="1E2761"/>
          </w:tcPr>
          <w:p>
            <w:r/>
            <w:r>
              <w:rPr>
                <w:b/>
                <w:color w:val="FFFFFF"/>
                <w:sz w:val="22"/>
              </w:rPr>
              <w:t>Criterion</w:t>
            </w:r>
          </w:p>
        </w:tc>
        <w:tc>
          <w:tcPr>
            <w:tcW w:type="dxa" w:w="1152"/>
            <w:shd w:fill="1E2761"/>
          </w:tcPr>
          <w:p>
            <w:r/>
            <w:r>
              <w:rPr>
                <w:b/>
                <w:color w:val="FFFFFF"/>
                <w:sz w:val="22"/>
              </w:rPr>
              <w:t>Points</w:t>
            </w:r>
          </w:p>
        </w:tc>
        <w:tc>
          <w:tcPr>
            <w:tcW w:type="dxa" w:w="5760"/>
            <w:shd w:fill="1E2761"/>
          </w:tcPr>
          <w:p>
            <w:r/>
            <w:r>
              <w:rPr>
                <w:b/>
                <w:color w:val="FFFFFF"/>
                <w:sz w:val="22"/>
              </w:rPr>
              <w:t>Description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Correctness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30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Code runs as specified; results meet the bar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Engineering quality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Clean, readable, tested where it matters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Evaluation rigor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Eval design is honest; numbers are reproducible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Observability and reproducibility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README plus traces let a peer rerun in under 30 minutes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Written reflection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Tradeoffs explicit, failure cases owned</w:t>
            </w:r>
          </w:p>
        </w:tc>
      </w:tr>
    </w:tbl>
    <w:p>
      <w:r>
        <w:rPr>
          <w:color w:val="333333"/>
          <w:sz w:val="22"/>
        </w:rPr>
        <w:t>Bonus 5 points for measuring marginal contribution of each stage via ablation.</w:t>
      </w:r>
    </w:p>
    <w:p>
      <w:r>
        <w:rPr>
          <w:b/>
          <w:color w:val="1E2761"/>
          <w:sz w:val="32"/>
        </w:rPr>
        <w:t>Submission</w:t>
      </w:r>
    </w:p>
    <w:p>
      <w:pPr>
        <w:pStyle w:val="ListBullet"/>
      </w:pPr>
      <w:r>
        <w:rPr>
          <w:color w:val="333333"/>
          <w:sz w:val="22"/>
        </w:rPr>
        <w:t>Push to a private GitHub repo and add the TAs as collaborators.</w:t>
      </w:r>
    </w:p>
    <w:p>
      <w:pPr>
        <w:pStyle w:val="ListBullet"/>
      </w:pPr>
      <w:r>
        <w:rPr>
          <w:color w:val="333333"/>
          <w:sz w:val="22"/>
        </w:rPr>
        <w:t>Tag the submission commit 'week-04-submit'.</w:t>
      </w:r>
    </w:p>
    <w:p>
      <w:pPr>
        <w:pStyle w:val="ListBullet"/>
      </w:pPr>
      <w:r>
        <w:rPr>
          <w:color w:val="333333"/>
          <w:sz w:val="22"/>
        </w:rPr>
        <w:t>Post the repo link in the bootcamp Discord by Saturday 10 AM PT.</w:t>
      </w:r>
    </w:p>
    <w:p>
      <w:r>
        <w:rPr>
          <w:b/>
          <w:color w:val="1E2761"/>
          <w:sz w:val="32"/>
        </w:rPr>
        <w:t>Reference Solution Sketch</w:t>
      </w:r>
    </w:p>
    <w:p>
      <w:r>
        <w:rPr>
          <w:color w:val="333333"/>
          <w:sz w:val="22"/>
        </w:rPr>
        <w:t>The funnel is four composable stages with explicit candidate counts: BM25 (Pyserini) and dense (bge-m3) each return 500, the union deduplicates to about 900; a 64-dim Matryoshka prune cuts to 200; ColBERT (RAGatouille) rescores to 50; a cross-encoder produces the final 10. Each stage logs wall time and candidate counts so the latency breakdown falls out of the run log. The dense-only baseline is the same bge-m3 index returning top 10 directly.</w:t>
      </w:r>
    </w:p>
    <w:p>
      <w:r>
        <w:rPr>
          <w:b/>
          <w:color w:val="1E2761"/>
          <w:sz w:val="26"/>
        </w:rPr>
        <w:t>Implementation Outline</w:t>
      </w:r>
    </w:p>
    <w:p>
      <w:pPr>
        <w:pStyle w:val="ListBullet"/>
      </w:pPr>
      <w:r>
        <w:rPr>
          <w:color w:val="333333"/>
          <w:sz w:val="22"/>
        </w:rPr>
        <w:t>Stage interface: rank(query, candidates) -&gt; scored candidates, so stages can be dropped for ablation.</w:t>
      </w:r>
    </w:p>
    <w:p>
      <w:pPr>
        <w:pStyle w:val="ListBullet"/>
      </w:pPr>
      <w:r>
        <w:rPr>
          <w:color w:val="333333"/>
          <w:sz w:val="22"/>
        </w:rPr>
        <w:t>Tune counts by sweeping stage budgets on a 50-query dev split before touching the 200-question eval.</w:t>
      </w:r>
    </w:p>
    <w:p>
      <w:pPr>
        <w:pStyle w:val="ListBullet"/>
      </w:pPr>
      <w:r>
        <w:rPr>
          <w:color w:val="333333"/>
          <w:sz w:val="22"/>
        </w:rPr>
        <w:t>Report recall@5, P50/P95 latency, and per-query cost for funnel vs baseline.</w:t>
      </w:r>
    </w:p>
    <w:p>
      <w:pPr>
        <w:pStyle w:val="ListBullet"/>
      </w:pPr>
      <w:r>
        <w:rPr>
          <w:color w:val="333333"/>
          <w:sz w:val="22"/>
        </w:rPr>
        <w:t>Ablation table removes one stage at a time to show marginal contribution (the bonus).</w:t>
      </w:r>
    </w:p>
    <w:p>
      <w:r>
        <w:rPr>
          <w:color w:val="333333"/>
          <w:sz w:val="22"/>
        </w:rPr>
        <w:t>Skeletons for each deliverable are in the lab repo branch 'reference-week-04'.</w:t>
      </w:r>
    </w:p>
    <w:p>
      <w:r>
        <w:rPr>
          <w:b/>
          <w:color w:val="1E2761"/>
          <w:sz w:val="26"/>
        </w:rPr>
        <w:t>Common Failure Modes</w:t>
      </w:r>
    </w:p>
    <w:p>
      <w:pPr>
        <w:pStyle w:val="ListBullet"/>
      </w:pPr>
      <w:r>
        <w:rPr>
          <w:color w:val="333333"/>
          <w:sz w:val="22"/>
        </w:rPr>
        <w:t>Skipping evaluation rigor in favor of better-looking implementation.</w:t>
      </w:r>
    </w:p>
    <w:p>
      <w:pPr>
        <w:pStyle w:val="ListBullet"/>
      </w:pPr>
      <w:r>
        <w:rPr>
          <w:color w:val="333333"/>
          <w:sz w:val="22"/>
        </w:rPr>
        <w:t>Hyperparameter changes without ablation.</w:t>
      </w:r>
    </w:p>
    <w:p>
      <w:pPr>
        <w:pStyle w:val="ListBullet"/>
      </w:pPr>
      <w:r>
        <w:rPr>
          <w:color w:val="333333"/>
          <w:sz w:val="22"/>
        </w:rPr>
        <w:t>Hidden state across runs (no seed, no version pin).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333333"/>
        <w:sz w:val="18"/>
      </w:rPr>
      <w:t>© 2026 Proxiant Academy | info@proxiant.com | proxiant.ai/training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