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3: Model Context Protocol (MCP)</w:t>
      </w:r>
    </w:p>
    <w:p>
      <w:r>
        <w:rPr>
          <w:i/>
          <w:color w:val="333333"/>
          <w:sz w:val="28"/>
        </w:rPr>
        <w:t>Tool servers, schemas, and the tool-use maximalist pattern</w:t>
      </w:r>
    </w:p>
    <w:p>
      <w:r>
        <w:rPr>
          <w:i/>
          <w:color w:val="333333"/>
          <w:sz w:val="22"/>
        </w:rPr>
        <w:t>Main session date: Sunday, June 21, 2026</w:t>
      </w:r>
    </w:p>
    <w:p>
      <w:r>
        <w:rPr>
          <w:i/>
          <w:color w:val="333333"/>
          <w:sz w:val="22"/>
        </w:rPr>
        <w:t>AI Agents and Advanced Fine-Tuning Bootcamp | Proxiant Academy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MCP is the cleanest abstraction in the agent stack right now. Today we cover the protocol, build a real tool server, and connect it to a Google ADK agent. The lessons here are also about tool craft, which is what determines whether agents work in practice.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Explain the MCP architecture (client, server, transport, capability negotiation)</w:t>
      </w:r>
    </w:p>
    <w:p>
      <w:pPr>
        <w:pStyle w:val="ListBullet"/>
      </w:pPr>
      <w:r>
        <w:rPr>
          <w:color w:val="333333"/>
          <w:sz w:val="22"/>
        </w:rPr>
        <w:t>Build a FastMCP server with three tools, full JSON schemas, and structured errors</w:t>
      </w:r>
    </w:p>
    <w:p>
      <w:pPr>
        <w:pStyle w:val="ListBullet"/>
      </w:pPr>
      <w:r>
        <w:rPr>
          <w:color w:val="333333"/>
          <w:sz w:val="22"/>
        </w:rPr>
        <w:t>Connect a Google ADK agent to the server and handle authentication via OAuth</w:t>
      </w:r>
    </w:p>
    <w:p>
      <w:pPr>
        <w:pStyle w:val="ListBullet"/>
      </w:pPr>
      <w:r>
        <w:rPr>
          <w:color w:val="333333"/>
          <w:sz w:val="22"/>
        </w:rPr>
        <w:t>Apply the tool-use maximalist pattern and articulate when it breaks down</w:t>
      </w:r>
    </w:p>
    <w:p>
      <w:pPr>
        <w:pStyle w:val="ListBullet"/>
      </w:pPr>
      <w:r>
        <w:rPr>
          <w:color w:val="333333"/>
          <w:sz w:val="22"/>
        </w:rPr>
        <w:t>Write tool documentation that an LLM can read without ambiguity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The MCP architecture</w:t>
      </w:r>
    </w:p>
    <w:p>
      <w:r>
        <w:rPr>
          <w:color w:val="333333"/>
          <w:sz w:val="22"/>
        </w:rPr>
        <w:t>Three pieces: a server (exposes tools, resources, prompts), a client (the agent host, negotiates capabilities at startup), and a transport (stdio, HTTP, WebSocket). The wire format is JSON-RPC. Capability negotiation happens once at the start of the session, so the agent knows what is available before it starts planning.</w:t>
      </w:r>
    </w:p>
    <w:p>
      <w:r>
        <w:rPr>
          <w:b/>
          <w:color w:val="1E2761"/>
          <w:sz w:val="26"/>
        </w:rPr>
        <w:t>2. FastMCP</w:t>
      </w:r>
    </w:p>
    <w:p>
      <w:r>
        <w:rPr>
          <w:color w:val="333333"/>
          <w:sz w:val="22"/>
        </w:rPr>
        <w:t>FastMCP wraps the protocol with decorator-style Python. A tool is a typed function with a docstring. The schema is generated automatically. The developer ergonomics are good enough that this is the recommended starting point.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fastmcp import FastMCP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app = FastMCP('crm-tools')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@app.tool()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lookup_customer(customer_id: str) -&gt; dict: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'''Look up a customer record by ID. Returns name, plan,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and last login timestamp. Raises tool_unavailable if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the CRM is down.'''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crm_api.get(customer_id)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3. Tool craft</w:t>
      </w:r>
    </w:p>
    <w:p>
      <w:r>
        <w:rPr>
          <w:color w:val="333333"/>
          <w:sz w:val="22"/>
        </w:rPr>
        <w:t>Names matter. Use verbs that match user intent. Docstrings matter more. The model reads the docstring at call time; ambiguity in the docstring produces wrong tool calls before any runtime error. Argument names are also the prompt. 'date' is bad; 'start_date_iso8601' is good.</w:t>
      </w:r>
    </w:p>
    <w:p>
      <w:r>
        <w:rPr>
          <w:b/>
          <w:color w:val="1E2761"/>
          <w:sz w:val="26"/>
        </w:rPr>
        <w:t>4. The tool-use maximalist pattern</w:t>
      </w:r>
    </w:p>
    <w:p>
      <w:r>
        <w:rPr>
          <w:color w:val="333333"/>
          <w:sz w:val="22"/>
        </w:rPr>
        <w:t>Give one agent every tool you have. It works further than people expect, and it is cheaper to operate than a multi-agent swarm. The failure mode is the catalog crossing the model's selection bandwidth: somewhere between 20 and 60 tools the model starts confusing similar ones. Measure this for your model before committing.</w:t>
      </w:r>
    </w:p>
    <w:p>
      <w:r>
        <w:rPr>
          <w:b/>
          <w:color w:val="1E2761"/>
          <w:sz w:val="26"/>
        </w:rPr>
        <w:t>5. AuthN and AuthZ</w:t>
      </w:r>
    </w:p>
    <w:p>
      <w:r>
        <w:rPr>
          <w:color w:val="333333"/>
          <w:sz w:val="22"/>
        </w:rPr>
        <w:t>OAuth 2.1 with PKCE for user-delegated access. Service-account tokens for system tools. Scopes per tool, not per server. Token refresh handled in the runtime so the agent never sees a credential. Log every consent grant.</w:t>
      </w:r>
    </w:p>
    <w:p>
      <w:r>
        <w:rPr>
          <w:b/>
          <w:color w:val="1E2761"/>
          <w:sz w:val="26"/>
        </w:rPr>
        <w:t>6. Errors and idempotency</w:t>
      </w:r>
    </w:p>
    <w:p>
      <w:r>
        <w:rPr>
          <w:color w:val="333333"/>
          <w:sz w:val="22"/>
        </w:rPr>
        <w:t>Structured error returns (tool_unavailable, invalid_input, rate_limited) let the agent reason about whether to retry and how to back off. Idempotency keys on writes prevent double-execution after retry. These two patterns together are the difference between a demo and a production system.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MCP architecture</w:t>
      </w:r>
    </w:p>
    <w:p>
      <w:r>
        <w:rPr>
          <w:color w:val="333333"/>
          <w:sz w:val="22"/>
        </w:rPr>
        <w:t>Server exposes tools, resources, and prompts. Client (the agent host) negotiates capabilities at startup. Transport can be stdio, HTTP, or WebSocket. The contract is JSON-RPC underneath.</w:t>
      </w:r>
    </w:p>
    <w:p>
      <w:r>
        <w:rPr>
          <w:b/>
          <w:color w:val="333333"/>
          <w:sz w:val="24"/>
        </w:rPr>
        <w:t>2. FastMCP and the developer experience</w:t>
      </w:r>
    </w:p>
    <w:p>
      <w:r>
        <w:rPr>
          <w:color w:val="333333"/>
          <w:sz w:val="22"/>
        </w:rPr>
        <w:t>FastMCP wraps the protocol in decorator-style Python. A tool is a function with a typed signature. The schema is generated from the signature plus docstring.</w:t>
      </w:r>
    </w:p>
    <w:p>
      <w:r>
        <w:rPr>
          <w:b/>
          <w:color w:val="333333"/>
          <w:sz w:val="24"/>
        </w:rPr>
        <w:t>3. Tool craft</w:t>
      </w:r>
    </w:p>
    <w:p>
      <w:r>
        <w:rPr>
          <w:color w:val="333333"/>
          <w:sz w:val="22"/>
        </w:rPr>
        <w:t>Names matter. Docstrings matter more. Argument names and descriptions are the prompt the LLM reads at call time. A bad description produces wrong tool calls long before runtime errors.</w:t>
      </w:r>
    </w:p>
    <w:p>
      <w:r>
        <w:rPr>
          <w:b/>
          <w:color w:val="333333"/>
          <w:sz w:val="24"/>
        </w:rPr>
        <w:t>4. The tool-use maximalist pattern</w:t>
      </w:r>
    </w:p>
    <w:p>
      <w:r>
        <w:rPr>
          <w:color w:val="333333"/>
          <w:sz w:val="22"/>
        </w:rPr>
        <w:t>Give one agent every tool. It works surprisingly often, scales further than people expect, and is much cheaper to operate than a multi-agent swarm. Fails when tools collide on similar names or when the catalog exceeds the model's selection bandwidth.</w:t>
      </w:r>
    </w:p>
    <w:p>
      <w:r>
        <w:rPr>
          <w:b/>
          <w:color w:val="333333"/>
          <w:sz w:val="24"/>
        </w:rPr>
        <w:t>5. Authentication and authorization</w:t>
      </w:r>
    </w:p>
    <w:p>
      <w:r>
        <w:rPr>
          <w:color w:val="333333"/>
          <w:sz w:val="22"/>
        </w:rPr>
        <w:t>OAuth 2.1 with PKCE for user-delegated access. Service-account tokens for system tools. Per-tool scopes, not per-server scopes.</w:t>
      </w:r>
    </w:p>
    <w:p>
      <w:r>
        <w:rPr>
          <w:b/>
          <w:color w:val="333333"/>
          <w:sz w:val="24"/>
        </w:rPr>
        <w:t>6. Errors, retries, and idempotency</w:t>
      </w:r>
    </w:p>
    <w:p>
      <w:r>
        <w:rPr>
          <w:color w:val="333333"/>
          <w:sz w:val="22"/>
        </w:rPr>
        <w:t>Structured error returns let the agent reason about whether to retry. Idempotency keys prevent double-execution under retry loops.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MCP Specification</w:t>
      </w:r>
    </w:p>
    <w:p>
      <w:r>
        <w:rPr>
          <w:color w:val="333333"/>
          <w:sz w:val="22"/>
        </w:rPr>
        <w:t>Anthropic, 2024 (modelcontextprotocol.io). The protocol itself, read as if it were a paper.</w:t>
      </w:r>
    </w:p>
    <w:p>
      <w:r>
        <w:rPr>
          <w:b/>
          <w:color w:val="333333"/>
          <w:sz w:val="24"/>
        </w:rPr>
        <w:t>Gorilla: Large Language Model Connected with Massive APIs</w:t>
      </w:r>
    </w:p>
    <w:p>
      <w:r>
        <w:rPr>
          <w:color w:val="333333"/>
          <w:sz w:val="22"/>
        </w:rPr>
        <w:t>Patil et al., 2023 (arXiv:2305.15334). Empirical limits of tool selection accuracy as the catalog grows.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FastMCP tool server: three tools, real schemas</w:t>
      </w:r>
    </w:p>
    <w:p>
      <w:r>
        <w:rPr>
          <w:color w:val="333333"/>
          <w:sz w:val="22"/>
        </w:rPr>
        <w:t>Objective: Build a FastMCP server exposing a calendar reader, a CRM lookup, and an internal wiki search.</w:t>
      </w:r>
    </w:p>
    <w:p>
      <w:r>
        <w:rPr>
          <w:color w:val="333333"/>
          <w:sz w:val="22"/>
        </w:rPr>
        <w:t>Deliverables: Server source, schema dump, and a short note on stdio versus HTTP latency.</w:t>
      </w:r>
    </w:p>
    <w:p>
      <w:r>
        <w:rPr>
          <w:b/>
          <w:color w:val="333333"/>
          <w:sz w:val="24"/>
        </w:rPr>
        <w:t>Google ADK client with MCP and OAuth</w:t>
      </w:r>
    </w:p>
    <w:p>
      <w:r>
        <w:rPr>
          <w:color w:val="333333"/>
          <w:sz w:val="22"/>
        </w:rPr>
        <w:t>Objective: Connect a Google ADK agent to the lab 1 server, with OAuth 2.1 for the calendar tool.</w:t>
      </w:r>
    </w:p>
    <w:p>
      <w:r>
        <w:rPr>
          <w:color w:val="333333"/>
          <w:sz w:val="22"/>
        </w:rPr>
        <w:t>Deliverables: Trace log, OAuth configuration, and a one-paragraph note on consent UX.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What does capability negotiation give you that runtime tool calls cannot?</w:t>
      </w:r>
    </w:p>
    <w:p>
      <w:pPr>
        <w:pStyle w:val="ListBullet"/>
      </w:pPr>
      <w:r>
        <w:rPr>
          <w:color w:val="333333"/>
          <w:sz w:val="22"/>
        </w:rPr>
        <w:t>Sketch a tool docstring that minimizes ambiguity for a date-range argument.</w:t>
      </w:r>
    </w:p>
    <w:p>
      <w:pPr>
        <w:pStyle w:val="ListBullet"/>
      </w:pPr>
      <w:r>
        <w:rPr>
          <w:color w:val="333333"/>
          <w:sz w:val="22"/>
        </w:rPr>
        <w:t>When does the tool-use maximalist pattern break down for your model?</w:t>
      </w:r>
    </w:p>
    <w:p>
      <w:pPr>
        <w:pStyle w:val="ListBullet"/>
      </w:pPr>
      <w:r>
        <w:rPr>
          <w:color w:val="333333"/>
          <w:sz w:val="22"/>
        </w:rPr>
        <w:t>Why should idempotency keys be issued by the client, not the server?</w:t>
      </w:r>
    </w:p>
    <w:p>
      <w:r>
        <w:rPr>
          <w:color w:val="333333"/>
          <w:sz w:val="22"/>
        </w:rPr>
        <w:t>Answers are reviewed live during the Wednesday quiz session.</w:t>
      </w:r>
    </w:p>
    <w:p>
      <w:r>
        <w:rPr>
          <w:b/>
          <w:color w:val="1E2761"/>
          <w:sz w:val="32"/>
        </w:rPr>
        <w:t>Further Reading</w:t>
      </w:r>
    </w:p>
    <w:p>
      <w:r>
        <w:rPr>
          <w:color w:val="333333"/>
          <w:sz w:val="22"/>
        </w:rPr>
        <w:t>Listed in the dedicated paper reading guide for this week (see Research_Papers folder).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