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2 | Lab A</w:t>
      </w:r>
    </w:p>
    <w:p>
      <w:r>
        <w:rPr>
          <w:i/>
          <w:color w:val="333333"/>
          <w:sz w:val="28"/>
        </w:rPr>
        <w:t>Google ADK basics: build a research assistant</w:t>
      </w:r>
    </w:p>
    <w:p>
      <w:r>
        <w:rPr>
          <w:i/>
          <w:color w:val="333333"/>
          <w:sz w:val="22"/>
        </w:rPr>
        <w:t>Bootcamp week: Enterprise AI | Session: Tuesday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Lab Objective</w:t>
      </w:r>
    </w:p>
    <w:p>
      <w:r>
        <w:rPr>
          <w:color w:val="333333"/>
          <w:sz w:val="22"/>
        </w:rPr>
        <w:t>Use Google Agent Development Kit to assemble a planner-worker-critic team that answers analyst questions over a small SEC filings corpus.</w:t>
      </w:r>
    </w:p>
    <w:p>
      <w:r>
        <w:rPr>
          <w:b/>
          <w:color w:val="1E2761"/>
          <w:sz w:val="32"/>
        </w:rPr>
        <w:t>Prerequisites</w:t>
      </w:r>
    </w:p>
    <w:p>
      <w:r>
        <w:rPr>
          <w:color w:val="333333"/>
          <w:sz w:val="22"/>
        </w:rPr>
        <w:t>Google Cloud project, ADK installed, BigQuery sandbox.</w:t>
      </w:r>
    </w:p>
    <w:p>
      <w:r>
        <w:rPr>
          <w:b/>
          <w:color w:val="1E2761"/>
          <w:sz w:val="32"/>
        </w:rPr>
        <w:t>Environment Setup</w:t>
      </w:r>
    </w:p>
    <w:p>
      <w:r>
        <w:rPr>
          <w:color w:val="333333"/>
          <w:sz w:val="22"/>
        </w:rPr>
        <w:t>Cluster workspace from week 1 plus week-specific deps in the requirements.txt that ships with this lab.</w:t>
      </w:r>
    </w:p>
    <w:p>
      <w:r>
        <w:rPr>
          <w:b/>
          <w:color w:val="1E2761"/>
          <w:sz w:val="32"/>
        </w:rPr>
        <w:t>Key Concepts</w:t>
      </w:r>
    </w:p>
    <w:p>
      <w:pPr>
        <w:pStyle w:val="ListBullet"/>
      </w:pPr>
      <w:r>
        <w:rPr>
          <w:color w:val="333333"/>
          <w:sz w:val="22"/>
        </w:rPr>
        <w:t>Concept list available in the class notes for this week.</w:t>
      </w:r>
    </w:p>
    <w:p>
      <w:pPr>
        <w:pStyle w:val="ListBullet"/>
      </w:pPr>
      <w:r>
        <w:rPr>
          <w:color w:val="333333"/>
          <w:sz w:val="22"/>
        </w:rPr>
        <w:t>Lab guide TA reviews the concepts in the first 15 minutes.</w:t>
      </w:r>
    </w:p>
    <w:p>
      <w:r>
        <w:rPr>
          <w:b/>
          <w:color w:val="1E2761"/>
          <w:sz w:val="32"/>
        </w:rPr>
        <w:t>Walkthrough</w:t>
      </w:r>
    </w:p>
    <w:p>
      <w:pPr>
        <w:pStyle w:val="ListNumber"/>
      </w:pPr>
      <w:r>
        <w:rPr>
          <w:color w:val="333333"/>
          <w:sz w:val="22"/>
        </w:rPr>
        <w:t>Define three agents (Planner, Worker, Critic) with explicit system prompts and tool sets.</w:t>
      </w:r>
    </w:p>
    <w:p>
      <w:pPr>
        <w:pStyle w:val="ListNumber"/>
      </w:pPr>
      <w:r>
        <w:rPr>
          <w:color w:val="333333"/>
          <w:sz w:val="22"/>
        </w:rPr>
        <w:t>Register a BigQuery tool that runs against a public SEC filings sample.</w:t>
      </w:r>
    </w:p>
    <w:p>
      <w:pPr>
        <w:pStyle w:val="ListNumber"/>
      </w:pPr>
      <w:r>
        <w:rPr>
          <w:color w:val="333333"/>
          <w:sz w:val="22"/>
        </w:rPr>
        <w:t>Wire the message bus so the Critic can reject Worker outputs and request revisions.</w:t>
      </w:r>
    </w:p>
    <w:p>
      <w:pPr>
        <w:pStyle w:val="ListNumber"/>
      </w:pPr>
      <w:r>
        <w:rPr>
          <w:color w:val="333333"/>
          <w:sz w:val="22"/>
        </w:rPr>
        <w:t>Run five analyst questions and log the rejection rate.</w:t>
      </w:r>
    </w:p>
    <w:p>
      <w:r>
        <w:rPr>
          <w:b/>
          <w:color w:val="1E2761"/>
          <w:sz w:val="32"/>
        </w:rPr>
        <w:t>Starter Code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# Starter code is in the lab repo: see lab_starter.py.</w:t>
      </w:r>
    </w:p>
    <w:p>
      <w:r>
        <w:rPr>
          <w:b/>
          <w:color w:val="1E2761"/>
          <w:sz w:val="32"/>
        </w:rPr>
        <w:t>Verification Checks</w:t>
      </w:r>
    </w:p>
    <w:p>
      <w:pPr>
        <w:pStyle w:val="ListBullet"/>
      </w:pPr>
      <w:r>
        <w:rPr>
          <w:color w:val="333333"/>
          <w:sz w:val="22"/>
        </w:rPr>
        <w:t>all deliverables present in the submission folder</w:t>
      </w:r>
    </w:p>
    <w:p>
      <w:pPr>
        <w:pStyle w:val="ListBullet"/>
      </w:pPr>
      <w:r>
        <w:rPr>
          <w:color w:val="333333"/>
          <w:sz w:val="22"/>
        </w:rPr>
        <w:t>code runs end-to-end without modification</w:t>
      </w:r>
    </w:p>
    <w:p>
      <w:pPr>
        <w:pStyle w:val="ListBullet"/>
      </w:pPr>
      <w:r>
        <w:rPr>
          <w:color w:val="333333"/>
          <w:sz w:val="22"/>
        </w:rPr>
        <w:t>results match the expected ranges in the rubric</w:t>
      </w:r>
    </w:p>
    <w:p>
      <w:r>
        <w:rPr>
          <w:b/>
          <w:color w:val="1E2761"/>
          <w:sz w:val="32"/>
        </w:rPr>
        <w:t>Deliverables</w:t>
      </w:r>
    </w:p>
    <w:p>
      <w:r>
        <w:rPr>
          <w:color w:val="333333"/>
          <w:sz w:val="22"/>
        </w:rPr>
        <w:t>ADK config files, run transcripts, and a chart of rejection rate by question type.</w:t>
      </w:r>
    </w:p>
    <w:p>
      <w:r>
        <w:rPr>
          <w:b/>
          <w:color w:val="1E2761"/>
          <w:sz w:val="32"/>
        </w:rPr>
        <w:t>Grading Rubric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880"/>
            <w:shd w:fill="1E2761"/>
          </w:tcPr>
          <w:p>
            <w:r/>
            <w:r>
              <w:rPr>
                <w:b/>
                <w:color w:val="FFFFFF"/>
                <w:sz w:val="22"/>
              </w:rPr>
              <w:t>Criterion</w:t>
            </w:r>
          </w:p>
        </w:tc>
        <w:tc>
          <w:tcPr>
            <w:tcW w:type="dxa" w:w="1152"/>
            <w:shd w:fill="1E2761"/>
          </w:tcPr>
          <w:p>
            <w:r/>
            <w:r>
              <w:rPr>
                <w:b/>
                <w:color w:val="FFFFFF"/>
                <w:sz w:val="22"/>
              </w:rPr>
              <w:t>Points</w:t>
            </w:r>
          </w:p>
        </w:tc>
        <w:tc>
          <w:tcPr>
            <w:tcW w:type="dxa" w:w="6048"/>
            <w:shd w:fill="1E2761"/>
          </w:tcPr>
          <w:p>
            <w:r/>
            <w:r>
              <w:rPr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Code correctness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Code runs as specified; results in expected ranges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Engineering quality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Readable, no dead code, sensible names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Observability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Logs, traces, or charts as required by deliverables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Analysis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Written reflection identifies real tradeoffs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Reproducibility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Peer can re-run by following the README</w:t>
            </w:r>
          </w:p>
        </w:tc>
      </w:tr>
    </w:tbl>
    <w:p>
      <w:r>
        <w:rPr>
          <w:b/>
          <w:color w:val="1E2761"/>
          <w:sz w:val="32"/>
        </w:rPr>
        <w:t>Common Pitfalls</w:t>
      </w:r>
    </w:p>
    <w:p>
      <w:pPr>
        <w:pStyle w:val="ListBullet"/>
      </w:pPr>
      <w:r>
        <w:rPr>
          <w:color w:val="333333"/>
          <w:sz w:val="22"/>
        </w:rPr>
        <w:t>Skipping the verification checks. Each one catches a frequent error.</w:t>
      </w:r>
    </w:p>
    <w:p>
      <w:pPr>
        <w:pStyle w:val="ListBullet"/>
      </w:pPr>
      <w:r>
        <w:rPr>
          <w:color w:val="333333"/>
          <w:sz w:val="22"/>
        </w:rPr>
        <w:t>Hard-coding paths. Use the lab repo's config.</w:t>
      </w:r>
    </w:p>
    <w:p>
      <w:pPr>
        <w:pStyle w:val="ListBullet"/>
      </w:pPr>
      <w:r>
        <w:rPr>
          <w:color w:val="333333"/>
          <w:sz w:val="22"/>
        </w:rPr>
        <w:t>Skipping the reflection. The TA grading uses it heavily.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