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| Lab B</w:t>
      </w:r>
    </w:p>
    <w:p>
      <w:r>
        <w:rPr>
          <w:i/>
          <w:color w:val="333333"/>
          <w:sz w:val="28"/>
        </w:rPr>
        <w:t>Google ADK client with MCP and OAuth</w:t>
      </w:r>
    </w:p>
    <w:p>
      <w:r>
        <w:rPr>
          <w:i/>
          <w:color w:val="333333"/>
          <w:sz w:val="22"/>
        </w:rPr>
        <w:t>Bootcamp week: Model Context Protocol (MCP)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Connect a Google ADK agent to the lab 1 server, with OAuth 2.1 for the calendar tool.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Google OAuth client configured, ADK runtime installed.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the agent host to discover the MCP server on startup.</w:t>
      </w:r>
    </w:p>
    <w:p>
      <w:pPr>
        <w:pStyle w:val="ListNumber"/>
      </w:pPr>
      <w:r>
        <w:rPr>
          <w:color w:val="333333"/>
          <w:sz w:val="22"/>
        </w:rPr>
        <w:t>Wire the OAuth flow so the calendar tool requires user consent the first time.</w:t>
      </w:r>
    </w:p>
    <w:p>
      <w:pPr>
        <w:pStyle w:val="ListNumber"/>
      </w:pPr>
      <w:r>
        <w:rPr>
          <w:color w:val="333333"/>
          <w:sz w:val="22"/>
        </w:rPr>
        <w:t>Run five user requests that touch all three tools.</w:t>
      </w:r>
    </w:p>
    <w:p>
      <w:pPr>
        <w:pStyle w:val="ListNumber"/>
      </w:pPr>
      <w:r>
        <w:rPr>
          <w:color w:val="333333"/>
          <w:sz w:val="22"/>
        </w:rPr>
        <w:t>Capture the full trace including token refreshes.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Trace log, OAuth configuration, and a one-paragraph note on consent UX.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