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 | Lab A</w:t>
      </w:r>
    </w:p>
    <w:p>
      <w:r>
        <w:rPr>
          <w:i/>
          <w:color w:val="333333"/>
          <w:sz w:val="28"/>
        </w:rPr>
        <w:t>Agentic RAG implementation</w:t>
      </w:r>
    </w:p>
    <w:p>
      <w:r>
        <w:rPr>
          <w:i/>
          <w:color w:val="333333"/>
          <w:sz w:val="22"/>
        </w:rPr>
        <w:t>Bootcamp week: Agentic RAG and Agentic Training | Session: Tuesday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a multi-hop agentic RAG over a 100K-document corpus with vector, BM25, and SQL backends.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Vector store provisioned, BM25 index built, SQL warehouse with structured tables.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Build a router that selects backend per sub-query.</w:t>
      </w:r>
    </w:p>
    <w:p>
      <w:pPr>
        <w:pStyle w:val="ListNumber"/>
      </w:pPr>
      <w:r>
        <w:rPr>
          <w:color w:val="333333"/>
          <w:sz w:val="22"/>
        </w:rPr>
        <w:t>Implement query decomposition with adaptive next-step planning.</w:t>
      </w:r>
    </w:p>
    <w:p>
      <w:pPr>
        <w:pStyle w:val="ListNumber"/>
      </w:pPr>
      <w:r>
        <w:rPr>
          <w:color w:val="333333"/>
          <w:sz w:val="22"/>
        </w:rPr>
        <w:t>Add HyDE for the vector backend.</w:t>
      </w:r>
    </w:p>
    <w:p>
      <w:pPr>
        <w:pStyle w:val="ListNumber"/>
      </w:pPr>
      <w:r>
        <w:rPr>
          <w:color w:val="333333"/>
          <w:sz w:val="22"/>
        </w:rPr>
        <w:t>Evaluate on a 200-question multi-hop test set.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End-to-end source, eval report, and per-backend hit-rate breakdown.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