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Research Paper Reading Guide</w:t>
      </w:r>
    </w:p>
    <w:p>
      <w:r>
        <w:rPr>
          <w:i/>
          <w:color w:val="333333"/>
          <w:sz w:val="28"/>
        </w:rPr>
        <w:t>Introduction to AI Agents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These two papers established the agentic loop as a research object. Read ReAct first; then Toolformer for how tool-use signal can be self-supervised.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ReAct: Synergizing Reasoning and Acting in Language Models</w:t>
      </w:r>
    </w:p>
    <w:p>
      <w:r>
        <w:rPr>
          <w:color w:val="333333"/>
          <w:sz w:val="22"/>
        </w:rPr>
        <w:t>Yao et al., 2022 (arXiv:2210.03629). Foundational paper for the interleaved thought-action-observation pattern.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Toolformer: Language Models Can Teach Themselves to Use Tools</w:t>
      </w:r>
    </w:p>
    <w:p>
      <w:r>
        <w:rPr>
          <w:color w:val="333333"/>
          <w:sz w:val="22"/>
        </w:rPr>
        <w:t>Schick et al., 2023 (arXiv:2302.04761). Early demonstration of self-supervised tool-use signal.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What was the dominant alternative to ReAct when it was published, and why did interleaved reasoning win?</w:t>
      </w:r>
    </w:p>
    <w:p>
      <w:pPr>
        <w:pStyle w:val="ListBullet"/>
      </w:pPr>
      <w:r>
        <w:rPr>
          <w:color w:val="333333"/>
          <w:sz w:val="22"/>
        </w:rPr>
        <w:t>Toolformer self-supervises. Identify a failure mode of that supervision that you would expect.</w:t>
      </w:r>
    </w:p>
    <w:p>
      <w:pPr>
        <w:pStyle w:val="ListBullet"/>
      </w:pPr>
      <w:r>
        <w:rPr>
          <w:color w:val="333333"/>
          <w:sz w:val="22"/>
        </w:rPr>
        <w:t>How would you modify ReAct for tasks where reasoning is far cheaper than action?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