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Research Paper Reading Guide</w:t>
      </w:r>
    </w:p>
    <w:p>
      <w:r>
        <w:rPr>
          <w:i/>
          <w:color w:val="333333"/>
          <w:sz w:val="28"/>
        </w:rPr>
        <w:t>Prompt Engineering and Optimization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DSPy reframes prompts as programs. GEPA brings evolutionary search; TextGrad brings gradients. Read all three for the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DSPy: Compiling Declarative Language Model Calls into Self-Improving Pipelines</w:t>
      </w:r>
    </w:p>
    <w:p>
      <w:r>
        <w:rPr>
          <w:color w:val="333333"/>
          <w:sz w:val="22"/>
        </w:rPr>
        <w:t>Khattab et al., 2023 (arXiv:2310.03714).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GEPA: Reflective Prompt Evolution</w:t>
      </w:r>
    </w:p>
    <w:p>
      <w:r>
        <w:rPr>
          <w:color w:val="333333"/>
          <w:sz w:val="22"/>
        </w:rPr>
        <w:t>Reading guide ships with the lab. Foundational for treating prompts as an evolutionary search problem.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TextGrad: Automatic Differentiation via Text</w:t>
      </w:r>
    </w:p>
    <w:p>
      <w:r>
        <w:rPr>
          <w:color w:val="333333"/>
          <w:sz w:val="22"/>
        </w:rPr>
        <w:t>Yuksekgonul et al., 2024 (arXiv:2406.07496).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DSPy's compile step is one-shot. When would streaming optimization be better?</w:t>
      </w:r>
    </w:p>
    <w:p>
      <w:pPr>
        <w:pStyle w:val="ListBullet"/>
      </w:pPr>
      <w:r>
        <w:rPr>
          <w:color w:val="333333"/>
          <w:sz w:val="22"/>
        </w:rPr>
        <w:t>GEPA uses an LLM critic as the mutation operator. What is the cost-benefit relative to random mutation?</w:t>
      </w:r>
    </w:p>
    <w:p>
      <w:pPr>
        <w:pStyle w:val="ListBullet"/>
      </w:pPr>
      <w:r>
        <w:rPr>
          <w:color w:val="333333"/>
          <w:sz w:val="22"/>
        </w:rPr>
        <w:t>TextGrad's gradients are textual. Sketch a case where the gradient is misleading.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