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Research Paper Reading Guide</w:t>
      </w:r>
    </w:p>
    <w:p>
      <w:r>
        <w:rPr>
          <w:i/>
          <w:color w:val="333333"/>
          <w:sz w:val="28"/>
        </w:rPr>
        <w:t>Multiple Agents and Deep RL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Constitutional AI shows AI-generated preferences scale further than human ones. Deep-read the GRPO portion of DeepSeekMath this week.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Constitutional AI: Harmlessness from AI Feedback</w:t>
      </w:r>
    </w:p>
    <w:p>
      <w:r>
        <w:rPr>
          <w:color w:val="333333"/>
          <w:sz w:val="22"/>
        </w:rPr>
        <w:t>Bai et al., 2022 (arXiv:2212.08073). Multi-stage RL with AI-generated preferences.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Group Relative Policy Optimization (DeepSeekMath section)</w:t>
      </w:r>
    </w:p>
    <w:p>
      <w:r>
        <w:rPr>
          <w:color w:val="333333"/>
          <w:sz w:val="22"/>
        </w:rPr>
        <w:t>Shao et al., 2024 (arXiv:2402.03300). Same paper as week 6, deeper read.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Constitutional AI generates preferences from a constitution. Pick a constitution clause that would be hard to operationalize.</w:t>
      </w:r>
    </w:p>
    <w:p>
      <w:pPr>
        <w:pStyle w:val="ListBullet"/>
      </w:pPr>
      <w:r>
        <w:rPr>
          <w:color w:val="333333"/>
          <w:sz w:val="22"/>
        </w:rPr>
        <w:t>GRPO's group size affects variance. Derive a heuristic for picking it.</w:t>
      </w:r>
    </w:p>
    <w:p>
      <w:pPr>
        <w:pStyle w:val="ListBullet"/>
      </w:pPr>
      <w:r>
        <w:rPr>
          <w:color w:val="333333"/>
          <w:sz w:val="22"/>
        </w:rPr>
        <w:t>If you had no preference data, would you reach for Constitutional AI or for RLVR? Why?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