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9 Project Brief</w:t>
      </w:r>
    </w:p>
    <w:p>
      <w:r>
        <w:rPr>
          <w:i/>
          <w:color w:val="333333"/>
          <w:sz w:val="28"/>
        </w:rPr>
        <w:t>A2A protocol between two heterogeneous agents</w:t>
      </w:r>
    </w:p>
    <w:p>
      <w:r>
        <w:rPr>
          <w:i/>
          <w:color w:val="333333"/>
          <w:sz w:val="22"/>
        </w:rPr>
        <w:t>Bootcamp theme: Agent Communications | Due next Sunday before main session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Project Summary</w:t>
      </w:r>
    </w:p>
    <w:p>
      <w:r>
        <w:rPr>
          <w:color w:val="333333"/>
          <w:sz w:val="22"/>
        </w:rPr>
        <w:t>Build one agent in Google ADK and one in a custom Python framework. Connect them over A2A with mTLS. Both must discover each other through a registry.</w:t>
      </w:r>
    </w:p>
    <w:p>
      <w:r>
        <w:rPr>
          <w:b/>
          <w:color w:val="1E2761"/>
          <w:sz w:val="32"/>
        </w:rPr>
        <w:t>Required Tools and Libraries</w:t>
      </w:r>
    </w:p>
    <w:p>
      <w:pPr>
        <w:pStyle w:val="ListBullet"/>
      </w:pPr>
      <w:r>
        <w:rPr>
          <w:color w:val="333333"/>
          <w:sz w:val="22"/>
        </w:rPr>
        <w:t>Google ADK</w:t>
      </w:r>
    </w:p>
    <w:p>
      <w:pPr>
        <w:pStyle w:val="ListBullet"/>
      </w:pPr>
      <w:r>
        <w:rPr>
          <w:color w:val="333333"/>
          <w:sz w:val="22"/>
        </w:rPr>
        <w:t>Custom Python A2A client</w:t>
      </w:r>
    </w:p>
    <w:p>
      <w:pPr>
        <w:pStyle w:val="ListBullet"/>
      </w:pPr>
      <w:r>
        <w:rPr>
          <w:color w:val="333333"/>
          <w:sz w:val="22"/>
        </w:rPr>
        <w:t>Local mTLS CA</w:t>
      </w:r>
    </w:p>
    <w:p>
      <w:r>
        <w:rPr>
          <w:b/>
          <w:color w:val="1E2761"/>
          <w:sz w:val="32"/>
        </w:rPr>
        <w:t>Deliverables</w:t>
      </w:r>
    </w:p>
    <w:p>
      <w:pPr>
        <w:pStyle w:val="ListBullet"/>
      </w:pPr>
      <w:r>
        <w:rPr>
          <w:color w:val="333333"/>
          <w:sz w:val="22"/>
        </w:rPr>
        <w:t>Both agent implementations</w:t>
      </w:r>
    </w:p>
    <w:p>
      <w:pPr>
        <w:pStyle w:val="ListBullet"/>
      </w:pPr>
      <w:r>
        <w:rPr>
          <w:color w:val="333333"/>
          <w:sz w:val="22"/>
        </w:rPr>
        <w:t>Registry service (small Flask app is fine)</w:t>
      </w:r>
    </w:p>
    <w:p>
      <w:pPr>
        <w:pStyle w:val="ListBullet"/>
      </w:pPr>
      <w:r>
        <w:rPr>
          <w:color w:val="333333"/>
          <w:sz w:val="22"/>
        </w:rPr>
        <w:t>mTLS setup with cert rotation script</w:t>
      </w:r>
    </w:p>
    <w:p>
      <w:pPr>
        <w:pStyle w:val="ListBullet"/>
      </w:pPr>
      <w:r>
        <w:rPr>
          <w:color w:val="333333"/>
          <w:sz w:val="22"/>
        </w:rPr>
        <w:t>End-to-end trace with discovery, capability negotiation, task exchange</w:t>
      </w:r>
    </w:p>
    <w:p>
      <w:pPr>
        <w:pStyle w:val="ListBullet"/>
      </w:pPr>
      <w:r>
        <w:rPr>
          <w:color w:val="333333"/>
          <w:sz w:val="22"/>
        </w:rPr>
        <w:t>Threat model: what does mTLS plus capability scopes protect against?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5760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Code runs as specified; results meet the bar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Clean, readable, tested where it matters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Evaluation rigor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Eval design is honest; numbers are reproducible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Observability and 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README + traces let a peer rerun in under 30 minutes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Written reflection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Tradeoffs explicit, failure cases owned</w:t>
            </w:r>
          </w:p>
        </w:tc>
      </w:tr>
    </w:tbl>
    <w:p>
      <w:r>
        <w:rPr>
          <w:color w:val="333333"/>
          <w:sz w:val="22"/>
        </w:rPr>
        <w:t>Bonus 5 points for adding a third agent that the first two discover and use.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Push to a private GitHub repo and add the TAs as collaborators.</w:t>
      </w:r>
    </w:p>
    <w:p>
      <w:pPr>
        <w:pStyle w:val="ListBullet"/>
      </w:pPr>
      <w:r>
        <w:rPr>
          <w:color w:val="333333"/>
          <w:sz w:val="22"/>
        </w:rPr>
        <w:t>Tag the submission commit 'week-XX-submit'.</w:t>
      </w:r>
    </w:p>
    <w:p>
      <w:pPr>
        <w:pStyle w:val="ListBullet"/>
      </w:pPr>
      <w:r>
        <w:rPr>
          <w:color w:val="333333"/>
          <w:sz w:val="22"/>
        </w:rPr>
        <w:t>Post the repo link in the bootcamp Discord by Sunday 11 AM PST.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