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| Lab A</w:t>
      </w:r>
    </w:p>
    <w:p>
      <w:r>
        <w:rPr>
          <w:i/>
          <w:color w:val="333333"/>
          <w:sz w:val="28"/>
        </w:rPr>
        <w:t>Embedding basics: anisotropy and whitening</w:t>
      </w:r>
    </w:p>
    <w:p>
      <w:r>
        <w:rPr>
          <w:i/>
          <w:color w:val="333333"/>
          <w:sz w:val="22"/>
        </w:rPr>
        <w:t>Bootcamp week: High-Dimensional Geometry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Measure anisotropy in three pretrained models. Apply whitening. Compare retrieval quality before and after.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GPU access, sentence-transformers installed.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Embed 5000 sentences with three models (mpnet, bge, gte).</w:t>
      </w:r>
    </w:p>
    <w:p>
      <w:pPr>
        <w:pStyle w:val="ListNumber"/>
      </w:pPr>
      <w:r>
        <w:rPr>
          <w:color w:val="333333"/>
          <w:sz w:val="22"/>
        </w:rPr>
        <w:t>Compute the average pairwise cosine similarity (anisotropy proxy).</w:t>
      </w:r>
    </w:p>
    <w:p>
      <w:pPr>
        <w:pStyle w:val="ListNumber"/>
      </w:pPr>
      <w:r>
        <w:rPr>
          <w:color w:val="333333"/>
          <w:sz w:val="22"/>
        </w:rPr>
        <w:t>Apply whitening to each set of embeddings.</w:t>
      </w:r>
    </w:p>
    <w:p>
      <w:pPr>
        <w:pStyle w:val="ListNumber"/>
      </w:pPr>
      <w:r>
        <w:rPr>
          <w:color w:val="333333"/>
          <w:sz w:val="22"/>
        </w:rPr>
        <w:t>Re-measure and benchmark retrieval recall@10 on STS-B.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Anisotropy chart, retrieval comparison table, and a short note on when whitening helps.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