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3 | Lab A</w:t>
      </w:r>
    </w:p>
    <w:p>
      <w:r>
        <w:rPr>
          <w:i/>
          <w:color w:val="333333"/>
          <w:sz w:val="28"/>
        </w:rPr>
        <w:t>Four chunking strategies head to head</w:t>
      </w:r>
    </w:p>
    <w:p>
      <w:r>
        <w:rPr>
          <w:i/>
          <w:color w:val="333333"/>
          <w:sz w:val="22"/>
        </w:rPr>
        <w:t>Bootcamp week: Retrieval | Session: Monday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Implement fixed-size, semantic, late, and contextual chunking on the same 1000-document corpus. Rank by retrieval recall@10.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Sentence-transformers and an LLM API.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Build each chunker as a separate function with shared interface.</w:t>
      </w:r>
    </w:p>
    <w:p>
      <w:pPr>
        <w:pStyle w:val="ListNumber"/>
      </w:pPr>
      <w:r>
        <w:rPr>
          <w:color w:val="333333"/>
          <w:sz w:val="22"/>
        </w:rPr>
        <w:t>Embed and index all four chunk sets.</w:t>
      </w:r>
    </w:p>
    <w:p>
      <w:pPr>
        <w:pStyle w:val="ListNumber"/>
      </w:pPr>
      <w:r>
        <w:rPr>
          <w:color w:val="333333"/>
          <w:sz w:val="22"/>
        </w:rPr>
        <w:t>Run a 100-query test set against each.</w:t>
      </w:r>
    </w:p>
    <w:p>
      <w:pPr>
        <w:pStyle w:val="ListNumber"/>
      </w:pPr>
      <w:r>
        <w:rPr>
          <w:color w:val="333333"/>
          <w:sz w:val="22"/>
        </w:rPr>
        <w:t>Compare recall@10, average chunk length, and end-to-end answer quality.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Comparison table, a chart of recall vs chunk size, and a written recommendation per corpus type.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