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B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week: Retrieval Funnel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the full four-stage funnel and benchmark against the dense-only baseline.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BM25 (Pyserini), ColBERT (RAGatouille), cross-encoder (sentence-transformers).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Wire the four stages with explicit candidate counts.</w:t>
      </w:r>
    </w:p>
    <w:p>
      <w:pPr>
        <w:pStyle w:val="ListNumber"/>
      </w:pPr>
      <w:r>
        <w:rPr>
          <w:color w:val="333333"/>
          <w:sz w:val="22"/>
        </w:rPr>
        <w:t>Run on a 100-query eval set.</w:t>
      </w:r>
    </w:p>
    <w:p>
      <w:pPr>
        <w:pStyle w:val="ListNumber"/>
      </w:pPr>
      <w:r>
        <w:rPr>
          <w:color w:val="333333"/>
          <w:sz w:val="22"/>
        </w:rPr>
        <w:t>Compare end-to-end recall@5, latency, and cost.</w:t>
      </w:r>
    </w:p>
    <w:p>
      <w:pPr>
        <w:pStyle w:val="ListNumber"/>
      </w:pPr>
      <w:r>
        <w:rPr>
          <w:color w:val="333333"/>
          <w:sz w:val="22"/>
        </w:rPr>
        <w:t>Tune candidate counts at each stage.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Funnel diagram with measured numbers and a tuning writeup.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