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| Lab A</w:t>
      </w:r>
    </w:p>
    <w:p>
      <w:r>
        <w:rPr>
          <w:i/>
          <w:color w:val="333333"/>
          <w:sz w:val="28"/>
        </w:rPr>
        <w:t>Four-stage guardrail pipeline</w:t>
      </w:r>
    </w:p>
    <w:p>
      <w:r>
        <w:rPr>
          <w:i/>
          <w:color w:val="333333"/>
          <w:sz w:val="22"/>
        </w:rPr>
        <w:t>Bootcamp week: Overcoming RAG Challenges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pipeline with syntax, PII, toxicity, and intent stages. Measure throughput and false-positive rates.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Presidio (PII), Perspective API or a toxicity model, intent classifier.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Implement each stage with a clean refuse-or-pass interface.</w:t>
      </w:r>
    </w:p>
    <w:p>
      <w:pPr>
        <w:pStyle w:val="ListNumber"/>
      </w:pPr>
      <w:r>
        <w:rPr>
          <w:color w:val="333333"/>
          <w:sz w:val="22"/>
        </w:rPr>
        <w:t>Chain them with early-exit semantics.</w:t>
      </w:r>
    </w:p>
    <w:p>
      <w:pPr>
        <w:pStyle w:val="ListNumber"/>
      </w:pPr>
      <w:r>
        <w:rPr>
          <w:color w:val="333333"/>
          <w:sz w:val="22"/>
        </w:rPr>
        <w:t>Run on 1000 sample inputs.</w:t>
      </w:r>
    </w:p>
    <w:p>
      <w:pPr>
        <w:pStyle w:val="ListNumber"/>
      </w:pPr>
      <w:r>
        <w:rPr>
          <w:color w:val="333333"/>
          <w:sz w:val="22"/>
        </w:rPr>
        <w:t>Tune thresholds against a labeled test set.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Pipeline source, throughput chart, FP/FN breakdown.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