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9 | Lab A</w:t>
      </w:r>
    </w:p>
    <w:p>
      <w:r>
        <w:rPr>
          <w:i/>
          <w:color w:val="333333"/>
          <w:sz w:val="28"/>
        </w:rPr>
        <w:t>Derivative artifacts and query transformation</w:t>
      </w:r>
    </w:p>
    <w:p>
      <w:r>
        <w:rPr>
          <w:i/>
          <w:color w:val="333333"/>
          <w:sz w:val="22"/>
        </w:rPr>
        <w:t>Bootcamp week: Towards Enterprise RAG | Session: Monday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Lab Objective</w:t>
      </w:r>
    </w:p>
    <w:p>
      <w:r>
        <w:rPr>
          <w:color w:val="333333"/>
          <w:sz w:val="22"/>
        </w:rPr>
        <w:t>Generate factoids and QA pairs for a 1000-document corpus. Add HyDE to retrieval. Measure cumulative effect on recall.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An LLM API plus the embeddings stack from prior weeks.</w:t>
      </w:r>
    </w:p>
    <w:p>
      <w:r>
        <w:rPr>
          <w:b/>
          <w:color w:val="1E2761"/>
          <w:sz w:val="32"/>
        </w:rPr>
        <w:t>Environment Setup</w:t>
      </w:r>
    </w:p>
    <w:p>
      <w:r>
        <w:rPr>
          <w:color w:val="333333"/>
          <w:sz w:val="22"/>
        </w:rPr>
        <w:t>Cluster workspace from week 1 plus week-specific dependencies in requirements.txt that ships with the lab repo.</w:t>
      </w:r>
    </w:p>
    <w:p>
      <w:r>
        <w:rPr>
          <w:b/>
          <w:color w:val="1E2761"/>
          <w:sz w:val="32"/>
        </w:rPr>
        <w:t>Walkthrough</w:t>
      </w:r>
    </w:p>
    <w:p>
      <w:pPr>
        <w:pStyle w:val="ListNumber"/>
      </w:pPr>
      <w:r>
        <w:rPr>
          <w:color w:val="333333"/>
          <w:sz w:val="22"/>
        </w:rPr>
        <w:t>Generate 5 factoids per document with an LLM.</w:t>
      </w:r>
    </w:p>
    <w:p>
      <w:pPr>
        <w:pStyle w:val="ListNumber"/>
      </w:pPr>
      <w:r>
        <w:rPr>
          <w:color w:val="333333"/>
          <w:sz w:val="22"/>
        </w:rPr>
        <w:t>Generate 3 QA pairs per document.</w:t>
      </w:r>
    </w:p>
    <w:p>
      <w:pPr>
        <w:pStyle w:val="ListNumber"/>
      </w:pPr>
      <w:r>
        <w:rPr>
          <w:color w:val="333333"/>
          <w:sz w:val="22"/>
        </w:rPr>
        <w:t>Re-index with the enriched corpus.</w:t>
      </w:r>
    </w:p>
    <w:p>
      <w:pPr>
        <w:pStyle w:val="ListNumber"/>
      </w:pPr>
      <w:r>
        <w:rPr>
          <w:color w:val="333333"/>
          <w:sz w:val="22"/>
        </w:rPr>
        <w:t>Add HyDE on the query side.</w:t>
      </w:r>
    </w:p>
    <w:p>
      <w:pPr>
        <w:pStyle w:val="ListNumber"/>
      </w:pPr>
      <w:r>
        <w:rPr>
          <w:color w:val="333333"/>
          <w:sz w:val="22"/>
        </w:rPr>
        <w:t>Measure recall@5 before and after.</w:t>
      </w:r>
    </w:p>
    <w:p>
      <w:r>
        <w:rPr>
          <w:b/>
          <w:color w:val="1E2761"/>
          <w:sz w:val="32"/>
        </w:rPr>
        <w:t>Deliverables</w:t>
      </w:r>
    </w:p>
    <w:p>
      <w:r>
        <w:rPr>
          <w:color w:val="333333"/>
          <w:sz w:val="22"/>
        </w:rPr>
        <w:t>Recall comparison plus a cost-per-query analysis.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6048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Code 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Code runs as specified; results in expected ranges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Readable, no dead code, sensible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Observability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Logs, traces, or charts as 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Analysis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Written reflection identifies real tradeoffs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Peer can re-run by following the README</w:t>
            </w:r>
          </w:p>
        </w:tc>
      </w:tr>
    </w:tbl>
    <w:p>
      <w:r>
        <w:rPr>
          <w:b/>
          <w:color w:val="1E2761"/>
          <w:sz w:val="32"/>
        </w:rPr>
        <w:t>Common Pitfalls</w:t>
      </w:r>
    </w:p>
    <w:p>
      <w:pPr>
        <w:pStyle w:val="ListBullet"/>
      </w:pPr>
      <w:r>
        <w:rPr>
          <w:color w:val="333333"/>
          <w:sz w:val="22"/>
        </w:rPr>
        <w:t>Skipping the verification checks. Each one catches a frequent error.</w:t>
      </w:r>
    </w:p>
    <w:p>
      <w:pPr>
        <w:pStyle w:val="ListBullet"/>
      </w:pPr>
      <w:r>
        <w:rPr>
          <w:color w:val="333333"/>
          <w:sz w:val="22"/>
        </w:rPr>
        <w:t>Hard-coding paths. Use the lab repo's config.</w:t>
      </w:r>
    </w:p>
    <w:p>
      <w:pPr>
        <w:pStyle w:val="ListBullet"/>
      </w:pPr>
      <w:r>
        <w:rPr>
          <w:color w:val="333333"/>
          <w:sz w:val="22"/>
        </w:rPr>
        <w:t>Skipping the reflection. The TA grading uses it heavily.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