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| Lab B</w:t>
      </w:r>
    </w:p>
    <w:p>
      <w:r>
        <w:rPr>
          <w:i/>
          <w:color w:val="333333"/>
          <w:sz w:val="28"/>
        </w:rPr>
        <w:t>Semantic cache layer</w:t>
      </w:r>
    </w:p>
    <w:p>
      <w:r>
        <w:rPr>
          <w:i/>
          <w:color w:val="333333"/>
          <w:sz w:val="22"/>
        </w:rPr>
        <w:t>Bootcamp week: Towards Enterprise RAG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semantic cache that caches answers by embedding similarity. Measure hit rate and cost savings on a synthetic 1000-query stream.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A small vector store for the cache, the RAG pipeline.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Implement cache lookup with a similarity threshold.</w:t>
      </w:r>
    </w:p>
    <w:p>
      <w:pPr>
        <w:pStyle w:val="ListNumber"/>
      </w:pPr>
      <w:r>
        <w:rPr>
          <w:color w:val="333333"/>
          <w:sz w:val="22"/>
        </w:rPr>
        <w:t>Implement cache write on each miss.</w:t>
      </w:r>
    </w:p>
    <w:p>
      <w:pPr>
        <w:pStyle w:val="ListNumber"/>
      </w:pPr>
      <w:r>
        <w:rPr>
          <w:color w:val="333333"/>
          <w:sz w:val="22"/>
        </w:rPr>
        <w:t>Run a synthetic query stream with 30% duplicate intent.</w:t>
      </w:r>
    </w:p>
    <w:p>
      <w:pPr>
        <w:pStyle w:val="ListNumber"/>
      </w:pPr>
      <w:r>
        <w:rPr>
          <w:color w:val="333333"/>
          <w:sz w:val="22"/>
        </w:rPr>
        <w:t>Measure hit rate, latency, and cost.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Cache implementation, threshold tuning analysis, and savings report.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