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| Lab A</w:t>
      </w:r>
    </w:p>
    <w:p>
      <w:r>
        <w:rPr>
          <w:i/>
          <w:color w:val="333333"/>
          <w:sz w:val="28"/>
        </w:rPr>
        <w:t>Semantic cache plus agentic RAG</w:t>
      </w:r>
    </w:p>
    <w:p>
      <w:r>
        <w:rPr>
          <w:i/>
          <w:color w:val="333333"/>
          <w:sz w:val="22"/>
        </w:rPr>
        <w:t>Bootcamp week: Agentic RAG and Text2SQL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Layer semantic caching under an agentic RAG. Measure cache hit rate and end-to-end cost on a 200-question test.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Cache from week 9, basic agent loop.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Wrap the agent's retrieval calls with the cache.</w:t>
      </w:r>
    </w:p>
    <w:p>
      <w:pPr>
        <w:pStyle w:val="ListNumber"/>
      </w:pPr>
      <w:r>
        <w:rPr>
          <w:color w:val="333333"/>
          <w:sz w:val="22"/>
        </w:rPr>
        <w:t>Run 200 questions with 25% repeat intent.</w:t>
      </w:r>
    </w:p>
    <w:p>
      <w:pPr>
        <w:pStyle w:val="ListNumber"/>
      </w:pPr>
      <w:r>
        <w:rPr>
          <w:color w:val="333333"/>
          <w:sz w:val="22"/>
        </w:rPr>
        <w:t>Compare cost and latency to agentic-without-cache.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 and a writeup on cache-agent interaction edge cases.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