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| Lab B</w:t>
      </w:r>
    </w:p>
    <w:p>
      <w:r>
        <w:rPr>
          <w:i/>
          <w:color w:val="333333"/>
          <w:sz w:val="28"/>
        </w:rPr>
        <w:t>Full RAG eval suite</w:t>
      </w:r>
    </w:p>
    <w:p>
      <w:r>
        <w:rPr>
          <w:i/>
          <w:color w:val="333333"/>
          <w:sz w:val="22"/>
        </w:rPr>
        <w:t>Bootcamp week: Evals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Run Ragas on the RAG pipeline you built this week. Add LLM-as-a-judge for answer quality. Add an RGB-style robustness test.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Ragas, your RAG pipeline, a judge model.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Ragas with the four core metrics.</w:t>
      </w:r>
    </w:p>
    <w:p>
      <w:pPr>
        <w:pStyle w:val="ListNumber"/>
      </w:pPr>
      <w:r>
        <w:rPr>
          <w:color w:val="333333"/>
          <w:sz w:val="22"/>
        </w:rPr>
        <w:t>Add LLM-as-a-judge with explicit prompt to control verbosity bias.</w:t>
      </w:r>
    </w:p>
    <w:p>
      <w:pPr>
        <w:pStyle w:val="ListNumber"/>
      </w:pPr>
      <w:r>
        <w:rPr>
          <w:color w:val="333333"/>
          <w:sz w:val="22"/>
        </w:rPr>
        <w:t>Inject noise and counterfactual passages for RGB-style tests.</w:t>
      </w:r>
    </w:p>
    <w:p>
      <w:pPr>
        <w:pStyle w:val="ListNumber"/>
      </w:pPr>
      <w:r>
        <w:rPr>
          <w:color w:val="333333"/>
          <w:sz w:val="22"/>
        </w:rPr>
        <w:t>Report all results with confidence intervals.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report with the full metric table and a writeup on the biggest weakness found.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