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Research Paper Reading Guide</w:t>
      </w:r>
    </w:p>
    <w:p>
      <w:r>
        <w:rPr>
          <w:i/>
          <w:color w:val="333333"/>
          <w:sz w:val="28"/>
        </w:rPr>
        <w:t>Retrieval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Late Chunking: Contextual Chunk Embeddings</w:t>
      </w:r>
    </w:p>
    <w:p>
      <w:r>
        <w:rPr>
          <w:color w:val="333333"/>
          <w:sz w:val="22"/>
        </w:rPr>
        <w:t>Günther et al., 2024 (arXiv:2409.04701).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Contextual Retrieval</w:t>
      </w:r>
    </w:p>
    <w:p>
      <w:r>
        <w:rPr>
          <w:color w:val="333333"/>
          <w:sz w:val="22"/>
        </w:rPr>
        <w:t>Anthropic, 2024. Reading guide ships with the lab.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