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Research Paper Reading Guide</w:t>
      </w:r>
    </w:p>
    <w:p>
      <w:r>
        <w:rPr>
          <w:i/>
          <w:color w:val="333333"/>
          <w:sz w:val="28"/>
        </w:rPr>
        <w:t>Vision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An Image is Worth 16x16 Words: Vision Transformers</w:t>
      </w:r>
    </w:p>
    <w:p>
      <w:r>
        <w:rPr>
          <w:color w:val="333333"/>
          <w:sz w:val="22"/>
        </w:rPr>
        <w:t>Dosovitskiy et al., 2020 (arXiv:2010.11929).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Learning Transferable Visual Models From Natural Language Supervision (CLIP)</w:t>
      </w:r>
    </w:p>
    <w:p>
      <w:r>
        <w:rPr>
          <w:color w:val="333333"/>
          <w:sz w:val="22"/>
        </w:rPr>
        <w:t>Radford et al., 2021 (arXiv:2103.00020).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BLIP-2: Bootstrapping Language-Image Pre-training with Frozen Image Encoders and LLMs</w:t>
      </w:r>
    </w:p>
    <w:p>
      <w:r>
        <w:rPr>
          <w:color w:val="333333"/>
          <w:sz w:val="22"/>
        </w:rPr>
        <w:t>Li et al., 2023 (arXiv:2301.12597).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