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E2761"/>
          <w:sz w:val="44"/>
        </w:rPr>
        <w:t>Week 7 Project Brief — Reference Solution Sketch</w:t>
      </w:r>
    </w:p>
    <w:p>
      <w:r>
        <w:rPr>
          <w:i/>
          <w:color w:val="333333"/>
          <w:sz w:val="28"/>
        </w:rPr>
        <w:t>RAPTOR vs GraphRAG on multi-hop questions</w:t>
      </w:r>
    </w:p>
    <w:p>
      <w:r>
        <w:rPr>
          <w:i/>
          <w:color w:val="333333"/>
          <w:sz w:val="22"/>
        </w:rPr>
        <w:t>Bootcamp theme: Graph-Based Retrieval | Due next Saturday | Instructor: Pavan R</w:t>
      </w:r>
    </w:p>
    <w:p>
      <w:pPr>
        <w:pBdr>
          <w:bottom w:val="single" w:sz="6" w:space="1" w:color="1E2761"/>
        </w:pBdr>
      </w:pPr>
    </w:p>
    <w:p>
      <w:r>
        <w:rPr>
          <w:b/>
          <w:color w:val="1E2761"/>
          <w:sz w:val="32"/>
        </w:rPr>
        <w:t>Project Summary</w:t>
      </w:r>
    </w:p>
    <w:p>
      <w:r>
        <w:rPr>
          <w:color w:val="333333"/>
          <w:sz w:val="22"/>
        </w:rPr>
        <w:t>Build a RAPTOR pipeline and a GraphRAG pipeline on the same 5K-document corpus. Compare on 50 multi-hop questions for quality, ingestion cost, and query latency.</w:t>
      </w:r>
    </w:p>
    <w:p>
      <w:r>
        <w:rPr>
          <w:b/>
          <w:color w:val="1E2761"/>
          <w:sz w:val="32"/>
        </w:rPr>
        <w:t>Required Tools and Libraries</w:t>
      </w:r>
    </w:p>
    <w:p>
      <w:pPr>
        <w:pStyle w:val="ListBullet"/>
      </w:pPr>
      <w:r>
        <w:rPr>
          <w:color w:val="333333"/>
          <w:sz w:val="22"/>
        </w:rPr>
        <w:t>RAPTOR reference impl</w:t>
      </w:r>
    </w:p>
    <w:p>
      <w:pPr>
        <w:pStyle w:val="ListBullet"/>
      </w:pPr>
      <w:r>
        <w:rPr>
          <w:color w:val="333333"/>
          <w:sz w:val="22"/>
        </w:rPr>
        <w:t>Neo4j or Memgraph</w:t>
      </w:r>
    </w:p>
    <w:p>
      <w:pPr>
        <w:pStyle w:val="ListBullet"/>
      </w:pPr>
      <w:r>
        <w:rPr>
          <w:color w:val="333333"/>
          <w:sz w:val="22"/>
        </w:rPr>
        <w:t>GraphRAG reference impl</w:t>
      </w:r>
    </w:p>
    <w:p>
      <w:r>
        <w:rPr>
          <w:b/>
          <w:color w:val="1E2761"/>
          <w:sz w:val="32"/>
        </w:rPr>
        <w:t>Deliverables</w:t>
      </w:r>
    </w:p>
    <w:p>
      <w:pPr>
        <w:pStyle w:val="ListBullet"/>
      </w:pPr>
      <w:r>
        <w:rPr>
          <w:color w:val="333333"/>
          <w:sz w:val="22"/>
        </w:rPr>
        <w:t>Both pipelines built and indexed</w:t>
      </w:r>
    </w:p>
    <w:p>
      <w:pPr>
        <w:pStyle w:val="ListBullet"/>
      </w:pPr>
      <w:r>
        <w:rPr>
          <w:color w:val="333333"/>
          <w:sz w:val="22"/>
        </w:rPr>
        <w:t>50-question multi-hop eval set</w:t>
      </w:r>
    </w:p>
    <w:p>
      <w:pPr>
        <w:pStyle w:val="ListBullet"/>
      </w:pPr>
      <w:r>
        <w:rPr>
          <w:color w:val="333333"/>
          <w:sz w:val="22"/>
        </w:rPr>
        <w:t>Cost breakdown for ingestion and query</w:t>
      </w:r>
    </w:p>
    <w:p>
      <w:pPr>
        <w:pStyle w:val="ListBullet"/>
      </w:pPr>
      <w:r>
        <w:rPr>
          <w:color w:val="333333"/>
          <w:sz w:val="22"/>
        </w:rPr>
        <w:t>Comparison table</w:t>
      </w:r>
    </w:p>
    <w:p>
      <w:pPr>
        <w:pStyle w:val="ListBullet"/>
      </w:pPr>
      <w:r>
        <w:rPr>
          <w:color w:val="333333"/>
          <w:sz w:val="22"/>
        </w:rPr>
        <w:t>Recommendation by corpus type</w:t>
      </w:r>
    </w:p>
    <w:p>
      <w:r>
        <w:rPr>
          <w:b/>
          <w:color w:val="1E2761"/>
          <w:sz w:val="32"/>
        </w:rPr>
        <w:t>Grading Rubric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456"/>
            <w:shd w:fill="1E2761"/>
          </w:tcPr>
          <w:p>
            <w:r/>
            <w:r>
              <w:rPr>
                <w:b/>
                <w:color w:val="FFFFFF"/>
                <w:sz w:val="22"/>
              </w:rPr>
              <w:t>Criterion</w:t>
            </w:r>
          </w:p>
        </w:tc>
        <w:tc>
          <w:tcPr>
            <w:tcW w:type="dxa" w:w="1152"/>
            <w:shd w:fill="1E2761"/>
          </w:tcPr>
          <w:p>
            <w:r/>
            <w:r>
              <w:rPr>
                <w:b/>
                <w:color w:val="FFFFFF"/>
                <w:sz w:val="22"/>
              </w:rPr>
              <w:t>Points</w:t>
            </w:r>
          </w:p>
        </w:tc>
        <w:tc>
          <w:tcPr>
            <w:tcW w:type="dxa" w:w="5760"/>
            <w:shd w:fill="1E2761"/>
          </w:tcPr>
          <w:p>
            <w:r/>
            <w:r>
              <w:rPr>
                <w:b/>
                <w:color w:val="FFFFFF"/>
                <w:sz w:val="22"/>
              </w:rPr>
              <w:t>Description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20"/>
              </w:rPr>
              <w:t>Correctness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30</w:t>
            </w:r>
          </w:p>
        </w:tc>
        <w:tc>
          <w:tcPr>
            <w:tcW w:type="dxa" w:w="5760"/>
          </w:tcPr>
          <w:p>
            <w:r/>
            <w:r>
              <w:rPr>
                <w:sz w:val="20"/>
              </w:rPr>
              <w:t>Code runs as specified; results meet the bar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20"/>
              </w:rPr>
              <w:t>Engineering quality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20</w:t>
            </w:r>
          </w:p>
        </w:tc>
        <w:tc>
          <w:tcPr>
            <w:tcW w:type="dxa" w:w="5760"/>
          </w:tcPr>
          <w:p>
            <w:r/>
            <w:r>
              <w:rPr>
                <w:sz w:val="20"/>
              </w:rPr>
              <w:t>Clean, readable, tested where it matters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20"/>
              </w:rPr>
              <w:t>Evaluation rigor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20</w:t>
            </w:r>
          </w:p>
        </w:tc>
        <w:tc>
          <w:tcPr>
            <w:tcW w:type="dxa" w:w="5760"/>
          </w:tcPr>
          <w:p>
            <w:r/>
            <w:r>
              <w:rPr>
                <w:sz w:val="20"/>
              </w:rPr>
              <w:t>Eval design is honest; numbers are reproducible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20"/>
              </w:rPr>
              <w:t>Observability and reproducibility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15</w:t>
            </w:r>
          </w:p>
        </w:tc>
        <w:tc>
          <w:tcPr>
            <w:tcW w:type="dxa" w:w="5760"/>
          </w:tcPr>
          <w:p>
            <w:r/>
            <w:r>
              <w:rPr>
                <w:sz w:val="20"/>
              </w:rPr>
              <w:t>README plus traces let a peer rerun in under 30 minutes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20"/>
              </w:rPr>
              <w:t>Written reflection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15</w:t>
            </w:r>
          </w:p>
        </w:tc>
        <w:tc>
          <w:tcPr>
            <w:tcW w:type="dxa" w:w="5760"/>
          </w:tcPr>
          <w:p>
            <w:r/>
            <w:r>
              <w:rPr>
                <w:sz w:val="20"/>
              </w:rPr>
              <w:t>Tradeoffs explicit, failure cases owned</w:t>
            </w:r>
          </w:p>
        </w:tc>
      </w:tr>
    </w:tbl>
    <w:p>
      <w:r>
        <w:rPr>
          <w:color w:val="333333"/>
          <w:sz w:val="22"/>
        </w:rPr>
        <w:t>Bonus 5 points for adding LightRAG as a third comparison.</w:t>
      </w:r>
    </w:p>
    <w:p>
      <w:r>
        <w:rPr>
          <w:b/>
          <w:color w:val="1E2761"/>
          <w:sz w:val="32"/>
        </w:rPr>
        <w:t>Submission</w:t>
      </w:r>
    </w:p>
    <w:p>
      <w:pPr>
        <w:pStyle w:val="ListBullet"/>
      </w:pPr>
      <w:r>
        <w:rPr>
          <w:color w:val="333333"/>
          <w:sz w:val="22"/>
        </w:rPr>
        <w:t>Push to a private GitHub repo and add the TAs as collaborators.</w:t>
      </w:r>
    </w:p>
    <w:p>
      <w:pPr>
        <w:pStyle w:val="ListBullet"/>
      </w:pPr>
      <w:r>
        <w:rPr>
          <w:color w:val="333333"/>
          <w:sz w:val="22"/>
        </w:rPr>
        <w:t>Tag the submission commit 'week-XX-submit'.</w:t>
      </w:r>
    </w:p>
    <w:p>
      <w:pPr>
        <w:pStyle w:val="ListBullet"/>
      </w:pPr>
      <w:r>
        <w:rPr>
          <w:color w:val="333333"/>
          <w:sz w:val="22"/>
        </w:rPr>
        <w:t>Post the repo link in the bootcamp Discord by Saturday 10 AM PST.</w:t>
      </w:r>
    </w:p>
    <w:p>
      <w:r>
        <w:rPr>
          <w:b/>
          <w:color w:val="1E2761"/>
          <w:sz w:val="32"/>
        </w:rPr>
        <w:t>Reference Solution Sketch</w:t>
      </w:r>
    </w:p>
    <w:p>
      <w:r>
        <w:rPr>
          <w:color w:val="333333"/>
          <w:sz w:val="22"/>
        </w:rPr>
        <w:t>A clean reference solution emphasizes honest evaluation over polished UI. Skeletons for each deliverable are in the lab repo branch 'reference-week-XX'.</w:t>
      </w:r>
    </w:p>
    <w:p>
      <w:r>
        <w:rPr>
          <w:b/>
          <w:color w:val="1E2761"/>
          <w:sz w:val="26"/>
        </w:rPr>
        <w:t>Architecture</w:t>
      </w:r>
    </w:p>
    <w:p>
      <w:r>
        <w:rPr>
          <w:color w:val="333333"/>
          <w:sz w:val="22"/>
        </w:rPr>
        <w:t>Built around the patterns introduced in week 7's class notes. Follow the recommended defaults; deviate only with measured justification.</w:t>
      </w:r>
    </w:p>
    <w:p>
      <w:r>
        <w:rPr>
          <w:b/>
          <w:color w:val="1E2761"/>
          <w:sz w:val="26"/>
        </w:rPr>
        <w:t>Common Failure Modes</w:t>
      </w:r>
    </w:p>
    <w:p>
      <w:pPr>
        <w:pStyle w:val="ListBullet"/>
      </w:pPr>
      <w:r>
        <w:rPr>
          <w:color w:val="333333"/>
          <w:sz w:val="22"/>
        </w:rPr>
        <w:t>Skipping evaluation rigor in favor of better-looking implementation.</w:t>
      </w:r>
    </w:p>
    <w:p>
      <w:pPr>
        <w:pStyle w:val="ListBullet"/>
      </w:pPr>
      <w:r>
        <w:rPr>
          <w:color w:val="333333"/>
          <w:sz w:val="22"/>
        </w:rPr>
        <w:t>Hyperparameter changes without ablation.</w:t>
      </w:r>
    </w:p>
    <w:p>
      <w:pPr>
        <w:pStyle w:val="ListBullet"/>
      </w:pPr>
      <w:r>
        <w:rPr>
          <w:color w:val="333333"/>
          <w:sz w:val="22"/>
        </w:rPr>
        <w:t>Hidden state across runs (no seed, no version pin).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