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9 Project Brief — Reference Solution Sketch</w:t>
      </w:r>
    </w:p>
    <w:p>
      <w:r>
        <w:rPr>
          <w:i/>
          <w:color w:val="333333"/>
          <w:sz w:val="28"/>
        </w:rPr>
        <w:t>Enterprise enrichment: factoids, HyDE, semantic cache</w:t>
      </w:r>
    </w:p>
    <w:p>
      <w:r>
        <w:rPr>
          <w:i/>
          <w:color w:val="333333"/>
          <w:sz w:val="22"/>
        </w:rPr>
        <w:t>Bootcamp theme: Towards Enterprise RAG | Due next Saturday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Add factoid and QA-pair derivative artifacts to a RAG corpus. Add HyDE on the query side. Build a semantic cache layer. Measure cumulative cost reduction and quality impact.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LLM API for factoid generation</w:t>
      </w:r>
    </w:p>
    <w:p>
      <w:pPr>
        <w:pStyle w:val="ListBullet"/>
      </w:pPr>
      <w:r>
        <w:rPr>
          <w:color w:val="333333"/>
          <w:sz w:val="22"/>
        </w:rPr>
        <w:t>Existing RAG stack</w:t>
      </w:r>
    </w:p>
    <w:p>
      <w:pPr>
        <w:pStyle w:val="ListBullet"/>
      </w:pPr>
      <w:r>
        <w:rPr>
          <w:color w:val="333333"/>
          <w:sz w:val="22"/>
        </w:rPr>
        <w:t>Cache vector store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Enriched corpus with factoids and QA pairs</w:t>
      </w:r>
    </w:p>
    <w:p>
      <w:pPr>
        <w:pStyle w:val="ListBullet"/>
      </w:pPr>
      <w:r>
        <w:rPr>
          <w:color w:val="333333"/>
          <w:sz w:val="22"/>
        </w:rPr>
        <w:t>HyDE pipeline integrated</w:t>
      </w:r>
    </w:p>
    <w:p>
      <w:pPr>
        <w:pStyle w:val="ListBullet"/>
      </w:pPr>
      <w:r>
        <w:rPr>
          <w:color w:val="333333"/>
          <w:sz w:val="22"/>
        </w:rPr>
        <w:t>Semantic cache with tuned threshold</w:t>
      </w:r>
    </w:p>
    <w:p>
      <w:pPr>
        <w:pStyle w:val="ListBullet"/>
      </w:pPr>
      <w:r>
        <w:rPr>
          <w:color w:val="333333"/>
          <w:sz w:val="22"/>
        </w:rPr>
        <w:t>Cost report: before vs after</w:t>
      </w:r>
    </w:p>
    <w:p>
      <w:pPr>
        <w:pStyle w:val="ListBullet"/>
      </w:pPr>
      <w:r>
        <w:rPr>
          <w:color w:val="333333"/>
          <w:sz w:val="22"/>
        </w:rPr>
        <w:t>Quality report on the same eval set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plus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adding hard-negative mining and quantifying embedder improvement.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'week-XX-submit'.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Saturday 10 AM PST.</w:t>
      </w:r>
    </w:p>
    <w:p>
      <w:r>
        <w:rPr>
          <w:b/>
          <w:color w:val="1E2761"/>
          <w:sz w:val="32"/>
        </w:rPr>
        <w:t>Reference Solution Sketch</w:t>
      </w:r>
    </w:p>
    <w:p>
      <w:r>
        <w:rPr>
          <w:color w:val="333333"/>
          <w:sz w:val="22"/>
        </w:rPr>
        <w:t>A clean reference solution emphasizes honest evaluation over polished UI. Skeletons for each deliverable are in the lab repo branch 'reference-week-XX'.</w:t>
      </w:r>
    </w:p>
    <w:p>
      <w:r>
        <w:rPr>
          <w:b/>
          <w:color w:val="1E2761"/>
          <w:sz w:val="26"/>
        </w:rPr>
        <w:t>Architecture</w:t>
      </w:r>
    </w:p>
    <w:p>
      <w:r>
        <w:rPr>
          <w:color w:val="333333"/>
          <w:sz w:val="22"/>
        </w:rPr>
        <w:t>Built around the patterns introduced in week 9's class notes. Follow the recommended defaults; deviate only with measured justification.</w:t>
      </w:r>
    </w:p>
    <w:p>
      <w:r>
        <w:rPr>
          <w:b/>
          <w:color w:val="1E2761"/>
          <w:sz w:val="26"/>
        </w:rPr>
        <w:t>Common Failure Modes</w:t>
      </w:r>
    </w:p>
    <w:p>
      <w:pPr>
        <w:pStyle w:val="ListBullet"/>
      </w:pPr>
      <w:r>
        <w:rPr>
          <w:color w:val="333333"/>
          <w:sz w:val="22"/>
        </w:rPr>
        <w:t>Skipping evaluation rigor in favor of better-looking implementation.</w:t>
      </w:r>
    </w:p>
    <w:p>
      <w:pPr>
        <w:pStyle w:val="ListBullet"/>
      </w:pPr>
      <w:r>
        <w:rPr>
          <w:color w:val="333333"/>
          <w:sz w:val="22"/>
        </w:rPr>
        <w:t>Hyperparameter changes without ablation.</w:t>
      </w:r>
    </w:p>
    <w:p>
      <w:pPr>
        <w:pStyle w:val="ListBullet"/>
      </w:pPr>
      <w:r>
        <w:rPr>
          <w:color w:val="333333"/>
          <w:sz w:val="22"/>
        </w:rPr>
        <w:t>Hidden state across runs (no seed, no version pin).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