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E2761"/>
          <w:sz w:val="44"/>
        </w:rPr>
        <w:t>Week 10 Project Brief</w:t>
      </w:r>
    </w:p>
    <w:p>
      <w:r>
        <w:rPr>
          <w:i/>
          <w:color w:val="333333"/>
          <w:sz w:val="28"/>
        </w:rPr>
        <w:t>Agentic RAG + Text-to-SQL on a real schema</w:t>
      </w:r>
    </w:p>
    <w:p>
      <w:r>
        <w:rPr>
          <w:i/>
          <w:color w:val="333333"/>
          <w:sz w:val="22"/>
        </w:rPr>
        <w:t>Bootcamp theme: Agentic RAG and Text2SQL | Due next Saturday | Instructor: Pavan R</w:t>
      </w:r>
    </w:p>
    <w:p>
      <w:pPr>
        <w:pBdr>
          <w:bottom w:val="single" w:sz="6" w:space="1" w:color="1E2761"/>
        </w:pBdr>
      </w:pPr>
    </w:p>
    <w:p>
      <w:r>
        <w:rPr>
          <w:b/>
          <w:color w:val="1E2761"/>
          <w:sz w:val="32"/>
        </w:rPr>
        <w:t>Project Summary</w:t>
      </w:r>
    </w:p>
    <w:p>
      <w:r>
        <w:rPr>
          <w:color w:val="333333"/>
          <w:sz w:val="22"/>
        </w:rPr>
        <w:t>Build an agentic RAG that includes a Text-to-SQL path for structured questions. Use MCP for tool exposure. Compare to static RAG on a mixed test set.</w:t>
      </w:r>
    </w:p>
    <w:p>
      <w:r>
        <w:rPr>
          <w:b/>
          <w:color w:val="1E2761"/>
          <w:sz w:val="32"/>
        </w:rPr>
        <w:t>Required Tools and Libraries</w:t>
      </w:r>
    </w:p>
    <w:p>
      <w:pPr>
        <w:pStyle w:val="ListBullet"/>
      </w:pPr>
      <w:r>
        <w:rPr>
          <w:color w:val="333333"/>
          <w:sz w:val="22"/>
        </w:rPr>
        <w:t>Google ADK or LangGraph</w:t>
      </w:r>
    </w:p>
    <w:p>
      <w:pPr>
        <w:pStyle w:val="ListBullet"/>
      </w:pPr>
      <w:r>
        <w:rPr>
          <w:color w:val="333333"/>
          <w:sz w:val="22"/>
        </w:rPr>
        <w:t>FastMCP</w:t>
      </w:r>
    </w:p>
    <w:p>
      <w:pPr>
        <w:pStyle w:val="ListBullet"/>
      </w:pPr>
      <w:r>
        <w:rPr>
          <w:color w:val="333333"/>
          <w:sz w:val="22"/>
        </w:rPr>
        <w:t>A sample SQL database</w:t>
      </w:r>
    </w:p>
    <w:p>
      <w:r>
        <w:rPr>
          <w:b/>
          <w:color w:val="1E2761"/>
          <w:sz w:val="32"/>
        </w:rPr>
        <w:t>Deliverables</w:t>
      </w:r>
    </w:p>
    <w:p>
      <w:pPr>
        <w:pStyle w:val="ListBullet"/>
      </w:pPr>
      <w:r>
        <w:rPr>
          <w:color w:val="333333"/>
          <w:sz w:val="22"/>
        </w:rPr>
        <w:t>Agentic loop with structured and unstructured tools</w:t>
      </w:r>
    </w:p>
    <w:p>
      <w:pPr>
        <w:pStyle w:val="ListBullet"/>
      </w:pPr>
      <w:r>
        <w:rPr>
          <w:color w:val="333333"/>
          <w:sz w:val="22"/>
        </w:rPr>
        <w:t>Text-to-SQL pipeline with schema retrieval</w:t>
      </w:r>
    </w:p>
    <w:p>
      <w:pPr>
        <w:pStyle w:val="ListBullet"/>
      </w:pPr>
      <w:r>
        <w:rPr>
          <w:color w:val="333333"/>
          <w:sz w:val="22"/>
        </w:rPr>
        <w:t>MCP tool server</w:t>
      </w:r>
    </w:p>
    <w:p>
      <w:pPr>
        <w:pStyle w:val="ListBullet"/>
      </w:pPr>
      <w:r>
        <w:rPr>
          <w:color w:val="333333"/>
          <w:sz w:val="22"/>
        </w:rPr>
        <w:t>Eval on 100 mixed questions</w:t>
      </w:r>
    </w:p>
    <w:p>
      <w:pPr>
        <w:pStyle w:val="ListBullet"/>
      </w:pPr>
      <w:r>
        <w:rPr>
          <w:color w:val="333333"/>
          <w:sz w:val="22"/>
        </w:rPr>
        <w:t>Cost-quality comparison vs static RAG</w:t>
      </w:r>
    </w:p>
    <w:p>
      <w:r>
        <w:rPr>
          <w:b/>
          <w:color w:val="1E2761"/>
          <w:sz w:val="32"/>
        </w:rPr>
        <w:t>Grading Rubric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456"/>
            <w:shd w:fill="1E2761"/>
          </w:tcPr>
          <w:p>
            <w:r/>
            <w:r>
              <w:rPr>
                <w:b/>
                <w:color w:val="FFFFFF"/>
                <w:sz w:val="22"/>
              </w:rPr>
              <w:t>Criterion</w:t>
            </w:r>
          </w:p>
        </w:tc>
        <w:tc>
          <w:tcPr>
            <w:tcW w:type="dxa" w:w="1152"/>
            <w:shd w:fill="1E2761"/>
          </w:tcPr>
          <w:p>
            <w:r/>
            <w:r>
              <w:rPr>
                <w:b/>
                <w:color w:val="FFFFFF"/>
                <w:sz w:val="22"/>
              </w:rPr>
              <w:t>Points</w:t>
            </w:r>
          </w:p>
        </w:tc>
        <w:tc>
          <w:tcPr>
            <w:tcW w:type="dxa" w:w="5760"/>
            <w:shd w:fill="1E2761"/>
          </w:tcPr>
          <w:p>
            <w:r/>
            <w:r>
              <w:rPr>
                <w:b/>
                <w:color w:val="FFFFFF"/>
                <w:sz w:val="22"/>
              </w:rPr>
              <w:t>Description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20"/>
              </w:rPr>
              <w:t>Correctness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30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Code runs as specified; results meet the bar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20"/>
              </w:rPr>
              <w:t>Engineering quality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20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Clean, readable, tested where it matters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20"/>
              </w:rPr>
              <w:t>Evaluation rigor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20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Eval design is honest; numbers are reproducible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20"/>
              </w:rPr>
              <w:t>Observability and reproducibility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15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README plus traces let a peer rerun in under 30 minutes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20"/>
              </w:rPr>
              <w:t>Written reflection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15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Tradeoffs explicit, failure cases owned</w:t>
            </w:r>
          </w:p>
        </w:tc>
      </w:tr>
    </w:tbl>
    <w:p>
      <w:r>
        <w:rPr>
          <w:color w:val="333333"/>
          <w:sz w:val="22"/>
        </w:rPr>
        <w:t>Bonus 5 points for adding a small CTE library and measuring SQL complexity reduction.</w:t>
      </w:r>
    </w:p>
    <w:p>
      <w:r>
        <w:rPr>
          <w:b/>
          <w:color w:val="1E2761"/>
          <w:sz w:val="32"/>
        </w:rPr>
        <w:t>Submission</w:t>
      </w:r>
    </w:p>
    <w:p>
      <w:pPr>
        <w:pStyle w:val="ListBullet"/>
      </w:pPr>
      <w:r>
        <w:rPr>
          <w:color w:val="333333"/>
          <w:sz w:val="22"/>
        </w:rPr>
        <w:t>Push to a private GitHub repo and add the TAs as collaborators.</w:t>
      </w:r>
    </w:p>
    <w:p>
      <w:pPr>
        <w:pStyle w:val="ListBullet"/>
      </w:pPr>
      <w:r>
        <w:rPr>
          <w:color w:val="333333"/>
          <w:sz w:val="22"/>
        </w:rPr>
        <w:t>Tag the submission commit 'week-XX-submit'.</w:t>
      </w:r>
    </w:p>
    <w:p>
      <w:pPr>
        <w:pStyle w:val="ListBullet"/>
      </w:pPr>
      <w:r>
        <w:rPr>
          <w:color w:val="333333"/>
          <w:sz w:val="22"/>
        </w:rPr>
        <w:t>Post the repo link in the bootcamp Discord by Saturday 10 AM PST.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