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120"/>
        <w:jc w:val="center"/>
        <w:rPr>
          <w:b/>
          <w:bCs/>
          <w:color w:val="1B365D"/>
          <w:sz w:val="52"/>
          <w:szCs w:val="52"/>
        </w:rPr>
      </w:pPr>
      <w:r>
        <w:t xml:space="preserve">ASSIGNMENT 3: Model Solution</w:t>
      </w:r>
    </w:p>
    <w:p>
      <w:pPr>
        <w:spacing w:after="480"/>
        <w:jc w:val="center"/>
        <w:rPr>
          <w:color w:val="5A5A6E"/>
          <w:sz w:val="24"/>
          <w:szCs w:val="24"/>
        </w:rPr>
      </w:pPr>
      <w:r>
        <w:t xml:space="preserve">Deep Learning Fundamentals - Example Answers</w:t>
      </w:r>
    </w:p>
    <w:p>
      <w:pPr>
        <w:pBdr>
          <w:bottom w:val="single" w:color="2E86AB" w:sz="12" w:space="1"/>
        </w:pBdr>
        <w:spacing w:before="240" w:after="120"/>
        <w:jc w:val="left"/>
        <w:rPr>
          <w:b/>
          <w:bCs/>
          <w:color w:val="1B365D"/>
          <w:sz w:val="44"/>
          <w:szCs w:val="44"/>
        </w:rPr>
      </w:pPr>
      <w:r>
        <w:t xml:space="preserve">PART A: Conceptual Solutions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Question 1: CNN vs RNN Architecture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Input Characteristics: CNNs process grid-structured data (images), exploit spatial locality. RNNs process sequential data (text, time series), variable length.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Information Processing: CNNs detect local patterns hierarchically. RNNs maintain hidden state across timesteps.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Parameter Sharing: CNNs share weights spatially (same filter across image). RNNs share weights temporally.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Efficiency: CNNs highly parallelizable. RNNs sequential bottleneck - cannot parallelize across timesteps.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Applications: CNN example: ResNet for medical imaging, detects radiological patterns. RNN example: LSTM for machine translation.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Question 2: Transformer Advantages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Problem with RNNs: Sequential processing bottleneck, gradient issues with very long sequences.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Solution: Self-attention allows each token to attend directly to all others in parallel. Computing relationships directly without sequential dependency.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Computational: RNNs O(n*d²) sequential. Transformers O(n²*d) but fully parallelizable - much faster on modern hardware.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Long-range dependencies: Direct attention between distant tokens, no exponential gradient decay.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Scalability: Transformers scale effectively with size (GPT-2 to GPT-3). Larger models improve consistently.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When others excel: CNNs still superior for images without pre-training (better data efficiency). RNNs useful for streaming data.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Question 3: Transfer Learning Strategies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Scenario A (10,000 examples): Fine-tune all weights at low learning rate (1e-5). Sufficient data to adapt all parameters.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Scenario B (100 examples): Freeze BERT backbone, train only top layers. Risk of overfitting with small dataset.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Scenario C (1 million unlabeled): Continued pre-training on domain data first, then fine-tune. Adapt embeddings to domain.</w:t>
      </w:r>
    </w:p>
    <w:p>
      <w:pPr>
        <w:pBdr>
          <w:bottom w:val="single" w:color="2E86AB" w:sz="12" w:space="1"/>
        </w:pBdr>
        <w:spacing w:before="240" w:after="120"/>
        <w:jc w:val="left"/>
        <w:rPr>
          <w:b/>
          <w:bCs/>
          <w:color w:val="1B365D"/>
          <w:sz w:val="44"/>
          <w:szCs w:val="44"/>
        </w:rPr>
      </w:pPr>
      <w:r>
        <w:t xml:space="preserve">PART B: Technical Solutions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Question 4: Network Analysis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Dimensions: 256→128→64→10 (softmax output is probability distribution)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Parameters: Layer1: 256*128+128=32,896, Layer2: 128*64+64=8,256, Layer3: 64*10+10=650, Total: 41,802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Batch Norm: Normalizes to zero mean/unit variance, enables higher learning rates, faster convergence, adds 2*(128+64)=384 params.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Question 5: CNN Calculations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Conv1: (224+2*3-7)/2+1 = 116×116×64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MaxPool1: (116-3)/2+1 = 57×57×64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Conv2: (57+2*1-3)/1+1 = 57×57×128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MaxPool2: (57-2)/2+1 = 28×28×128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Parameters: Conv1: (7*7*3+1)*64=9,472, Conv2: (3*3*64+1)*128=73,856, Total: 83,328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Question 6: Attention Computation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QK^T: 4×4 matrix of dot products (query-key similarity)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Scale: divide by sqrt(64)=8 to prevent saturation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Softmax: convert to probability distribution (rows sum to 1)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Output: weighted average of V rows, where weights are attention scores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Semantically: Token i gathers context from all tokens, weighted by relevance.</w:t>
      </w:r>
    </w:p>
    <w:p>
      <w:pPr>
        <w:pBdr>
          <w:bottom w:val="single" w:color="2E86AB" w:sz="12" w:space="1"/>
        </w:pBdr>
        <w:spacing w:before="240" w:after="120"/>
        <w:jc w:val="left"/>
        <w:rPr>
          <w:b/>
          <w:bCs/>
          <w:color w:val="1B365D"/>
          <w:sz w:val="44"/>
          <w:szCs w:val="44"/>
        </w:rPr>
      </w:pPr>
      <w:r>
        <w:t xml:space="preserve">PART C: Industry Application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Example: Medical Imaging - Deep Learning Impact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Architectures: ResNet for classification, U-Net for segmentation, Vision Transformers for detection.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Advantages: Radiologist-level accuracy (98%+), faster analysis (seconds vs minutes), consistent criteria, scalable.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Challenges: Generalization across different populations/equipment, interpretability issues, FDA approval process, bias in training data.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Future: Augmenting radiologists rather than replacing, multi-modal models combining images/clinical data, federated learning for privacy.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Ethics: Ensure diverse training data, clear liability, patient consent, equitable access, strong privacy protection.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2026-02-14T00:56:26.807Z</dcterms:created>
  <dcterms:modified xsi:type="dcterms:W3CDTF">2026-02-14T00:56:26.807Z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