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pStyle w:val="Heading1"/><w:spacing w:after="200"/><w:jc w:val="center"/></w:pPr><w:r><w:t xml:space="preserve">AI for Engineers - Week 3 Class Notes</w:t></w:r></w:p><w:p><w:pPr><w:pStyle w:val="Heading2"/><w:spacing w:after="400"/><w:jc w:val="center"/></w:pPr><w:r><w:t xml:space="preserve">Data Engineering for AI</w:t></w:r></w:p><w:p><w:pPr><w:pStyle w:val="Heading1"/><w:spacing w:before="400" w:after="200"/></w:pPr><w:r><w:t xml:space="preserve">Session 7: Data Pipelines &amp; ETL/ELT</w:t></w:r></w:p><w:p><w:pPr><w:pStyle w:val="Heading2"/><w:spacing w:before="200" w:after="100"/></w:pPr><w:r><w:t xml:space="preserve">Overview</w:t></w:r></w:p><w:p><w:pPr><w:spacing w:after="200"/></w:pPr><w:r><w:t xml:space="preserve">Data pipelines form the backbone of modern AI systems. They automate the movement and transformation of data from sources to destinations, ensuring quality and consistency throughout. This session covers ETL vs ELT patterns, data quality frameworks, Pydantic validation, and data versioning strategies.</w:t></w:r></w:p><w:p><w:pPr><w:pStyle w:val="Heading2"/><w:spacing w:before="200" w:after="100"/></w:pPr><w:r><w:t xml:space="preserve">1. ETL vs ELT Patterns</w:t></w:r></w:p><w:p><w:pPr><w:pStyle w:val="Heading3"/><w:spacing w:before="100" w:after="100"/></w:pPr><w:r><w:t xml:space="preserve">Traditional ETL (Extract-Transform-Load):</w:t></w:r></w:p><w:p><w:pPr><w:spacing w:after="150"/></w:pPr><w:r><w:t xml:space="preserve">Data is extracted from sources, transformed in a separate processing layer, then loaded into a data warehouse or database. This approach emphasizes schema-on-write, where data structure is defined before loading.</w:t></w:r></w:p><0/><w:p><w:pPr><w:pStyle w:val="Heading4"/><w:spacing w:before="100" w:after="50"/></w:pPr><w:r><w:t xml:space="preserve">Advantages of ETL:</w:t></w:r></w:p><0/><w:p><w:pPr><w:pStyle w:val="Heading4"/><w:spacing w:before="100" w:after="50"/></w:pPr><w:r><w:t xml:space="preserve">Disadvantages of ETL:</w:t></w:r></w:p><0/><w:p><w:pPr><w:pStyle w:val="Heading3"/><w:spacing w:before="200" w:after="100"/></w:pPr><w:r><w:t xml:space="preserve">Modern ELT (Extract-Load-Transform):</w:t></w:r></w:p><w:p><w:pPr><w:spacing w:after="150"/></w:pPr><w:r><w:t xml:space="preserve">Data is extracted from sources, loaded directly into a data lake or data warehouse, then transformed on-demand. This approach emphasizes schema-on-read, where structure is determined at query time.</w:t></w:r></w:p><0/><w:p><w:pPr><w:pStyle w:val="Heading4"/><w:spacing w:before="100" w:after="50"/></w:pPr><w:r><w:t xml:space="preserve">Advantages of ELT:</w:t></w:r></w:p><0/><w:p><w:pPr><w:pStyle w:val="Heading4"/><w:spacing w:before="100" w:after="50"/></w:pPr><w:r><w:t xml:space="preserve">Disadvantages of ELT:</w:t></w:r></w:p><0/><w:p><w:pPr><w:pStyle w:val="Heading2"/><w:spacing w:before="300" w:after="100"/></w:pPr><w:r><w:t xml:space="preserve">2. Data Quality and Validation</w:t></w:r></w:p><w:p><w:pPr><w:spacing w:after="150"/></w:pPr><w:r><w:t xml:space="preserve">Data quality is multi-dimensional and requires systematic validation at multiple pipeline stages. The following framework covers key dimensions:</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gridCol w:w="100"/></w:tblGrid><w:tr><w:tc><w:tcPr><w:shd w:color="1B365D" w:val="clear"/><w:tcMar><w:top w:type="dxa" w:w="80"/><w:left w:type="dxa" w:w="120"/><w:bottom w:type="dxa" w:w="80"/><w:right w:type="dxa" w:w="120"/></w:tcMar></w:tcPr><w:p><w:r><w:t xml:space="preserve">Dimension</w:t></w:r></w:p></w:tc><w:tc><w:tcPr><w:shd w:color="1B365D" w:val="clear"/><w:tcMar><w:top w:type="dxa" w:w="80"/><w:left w:type="dxa" w:w="120"/><w:bottom w:type="dxa" w:w="80"/><w:right w:type="dxa" w:w="120"/></w:tcMar></w:tcPr><w:p><w:r><w:t xml:space="preserve">Definition</w:t></w:r></w:p></w:tc><w:tc><w:tcPr><w:shd w:color="1B365D" w:val="clear"/><w:tcMar><w:top w:type="dxa" w:w="80"/><w:left w:type="dxa" w:w="120"/><w:bottom w:type="dxa" w:w="80"/><w:right w:type="dxa" w:w="120"/></w:tcMar></w:tcPr><w:p><w:r><w:t xml:space="preserve">Examples</w:t></w:r></w:p></w:tc></w:tr><w:tr><w:tc><w:tcPr><w:tcMar><w:top w:type="dxa" w:w="80"/><w:left w:type="dxa" w:w="120"/><w:bottom w:type="dxa" w:w="80"/><w:right w:type="dxa" w:w="120"/></w:tcMar></w:tcPr><w:p><w:r><w:t xml:space="preserve">Completeness</w:t></w:r></w:p></w:tc><w:tc><w:tcPr><w:tcMar><w:top w:type="dxa" w:w="80"/><w:left w:type="dxa" w:w="120"/><w:bottom w:type="dxa" w:w="80"/><w:right w:type="dxa" w:w="120"/></w:tcMar></w:tcPr><w:p><w:r><w:t xml:space="preserve">All required fields contain values</w:t></w:r></w:p></w:tc><w:tc><w:tcPr><w:tcMar><w:top w:type="dxa" w:w="80"/><w:left w:type="dxa" w:w="120"/><w:bottom w:type="dxa" w:w="80"/><w:right w:type="dxa" w:w="120"/></w:tcMar></w:tcPr><w:p><w:r><w:t xml:space="preserve">No NULL in id, email fields</w:t></w:r></w:p></w:tc></w:tr><w:tr><w:tc><w:tcPr><w:tcMar><w:top w:type="dxa" w:w="80"/><w:left w:type="dxa" w:w="120"/><w:bottom w:type="dxa" w:w="80"/><w:right w:type="dxa" w:w="120"/></w:tcMar></w:tcPr><w:p><w:r><w:t xml:space="preserve">Accuracy</w:t></w:r></w:p></w:tc><w:tc><w:tcPr><w:tcMar><w:top w:type="dxa" w:w="80"/><w:left w:type="dxa" w:w="120"/><w:bottom w:type="dxa" w:w="80"/><w:right w:type="dxa" w:w="120"/></w:tcMar></w:tcPr><w:p><w:r><w:t xml:space="preserve">Data matches real-world values</w:t></w:r></w:p></w:tc><w:tc><w:tcPr><w:tcMar><w:top w:type="dxa" w:w="80"/><w:left w:type="dxa" w:w="120"/><w:bottom w:type="dxa" w:w="80"/><w:right w:type="dxa" w:w="120"/></w:tcMar></w:tcPr><w:p><w:r><w:t xml:space="preserve">Email format valid, age in range</w:t></w:r></w:p></w:tc></w:tr><w:tr><w:tc><w:tcPr><w:tcMar><w:top w:type="dxa" w:w="80"/><w:left w:type="dxa" w:w="120"/><w:bottom w:type="dxa" w:w="80"/><w:right w:type="dxa" w:w="120"/></w:tcMar></w:tcPr><w:p><w:r><w:t xml:space="preserve">Consistency</w:t></w:r></w:p></w:tc><w:tc><w:tcPr><w:tcMar><w:top w:type="dxa" w:w="80"/><w:left w:type="dxa" w:w="120"/><w:bottom w:type="dxa" w:w="80"/><w:right w:type="dxa" w:w="120"/></w:tcMar></w:tcPr><w:p><w:r><w:t xml:space="preserve">Data uniform across systems</w:t></w:r></w:p></w:tc><w:tc><w:tcPr><w:tcMar><w:top w:type="dxa" w:w="80"/><w:left w:type="dxa" w:w="120"/><w:bottom w:type="dxa" w:w="80"/><w:right w:type="dxa" w:w="120"/></w:tcMar></w:tcPr><w:p><w:r><w:t xml:space="preserve">Same customer ID format everywhere</w:t></w:r></w:p></w:tc></w:tr><w:tr><w:tc><w:tcPr><w:tcMar><w:top w:type="dxa" w:w="80"/><w:left w:type="dxa" w:w="120"/><w:bottom w:type="dxa" w:w="80"/><w:right w:type="dxa" w:w="120"/></w:tcMar></w:tcPr><w:p><w:r><w:t xml:space="preserve">Timeliness</w:t></w:r></w:p></w:tc><w:tc><w:tcPr><w:tcMar><w:top w:type="dxa" w:w="80"/><w:left w:type="dxa" w:w="120"/><w:bottom w:type="dxa" w:w="80"/><w:right w:type="dxa" w:w="120"/></w:tcMar></w:tcPr><w:p><w:r><w:t xml:space="preserve">Data current and available when needed</w:t></w:r></w:p></w:tc><w:tc><w:tcPr><w:tcMar><w:top w:type="dxa" w:w="80"/><w:left w:type="dxa" w:w="120"/><w:bottom w:type="dxa" w:w="80"/><w:right w:type="dxa" w:w="120"/></w:tcMar></w:tcPr><w:p><w:r><w:t xml:space="preserve">Reports updated within SLA</w:t></w:r></w:p></w:tc></w:tr><w:tr><w:tc><w:tcPr><w:tcMar><w:top w:type="dxa" w:w="80"/><w:left w:type="dxa" w:w="120"/><w:bottom w:type="dxa" w:w="80"/><w:right w:type="dxa" w:w="120"/></w:tcMar></w:tcPr><w:p><w:r><w:t xml:space="preserve">Validity</w:t></w:r></w:p></w:tc><w:tc><w:tcPr><w:tcMar><w:top w:type="dxa" w:w="80"/><w:left w:type="dxa" w:w="120"/><w:bottom w:type="dxa" w:w="80"/><w:right w:type="dxa" w:w="120"/></w:tcMar></w:tcPr><w:p><w:r><w:t xml:space="preserve">Data conforms to required formats</w:t></w:r></w:p></w:tc><w:tc><w:tcPr><w:tcMar><w:top w:type="dxa" w:w="80"/><w:left w:type="dxa" w:w="120"/><w:bottom w:type="dxa" w:w="80"/><w:right w:type="dxa" w:w="120"/></w:tcMar></w:tcPr><w:p><w:r><w:t xml:space="preserve">Dates ISO 8601, emails RFC 5322</w:t></w:r></w:p></w:tc></w:tr></w:tbl><w:p><w:pPr><w:pStyle w:val="Heading3"/><w:spacing w:before="200" w:after="100"/></w:pPr><w:r><w:t xml:space="preserve">Implementing Data Quality Checks:</w:t></w:r></w:p><0/><w:p><w:pPr><w:pStyle w:val="Heading2"/><w:spacing w:before="300" w:after="100"/></w:pPr><w:r><w:t xml:space="preserve">3. Pydantic for Data Validation</w:t></w:r></w:p><w:p><w:pPr><w:spacing w:after="150"/></w:pPr><w:r><w:t xml:space="preserve">Pydantic is a Python library for data validation using Python type annotations. It provides runtime type checking, automatic error generation, and JSON serialization.</w:t></w:r></w:p><w:p><w:pPr><w:pStyle w:val="Heading3"/><w:spacing w:before="100" w:after="100"/></w:pPr><w:r><w:t xml:space="preserve">Basic Pydantic Model:</w:t></w:r></w:p><w:p><w:pPr><w:pStyle w:val="Normal"/><w:pBdr><w:top w:val="single" w:color="000000" w:space="1"/><w:bottom w:val="single" w:color="000000" w:space="1"/><w:left w:val="single" w:color="000000" w:space="1"/><w:right w:val="single" w:color="000000" w:space="1"/></w:pBdr><w:shd w:color="F5F5F5" w:val="clear"/><w:spacing w:before="100" w:after="100"/></w:pPr><w:r><w:t xml:space="preserve">from pydantic import BaseModel, Field, validator
from datetime import datetime
from typing import Optional

class User(BaseModel):
    id: int
    name: str = Field(..., min_length=1, max_length=100)
    email: str
    age: Optional[int] = None
    created_at: datetime

user = User(
    id=1,
    name=&quot;John&quot;,
    email=&quot;john@example.com&quot;,
    created_at=&quot;2024-01-15T10:30:00&quot;
)
print(user.dict())  # Serialize to dict
print(user.json())  # Serialize to JSON</w:t></w:r></w:p><w:p><w:pPr><w:pStyle w:val="Heading3"/><w:spacing w:before="200" w:after="100"/></w:pPr><w:r><w:t xml:space="preserve">Custom Validators:</w:t></w:r></w:p><w:p><w:pPr><w:pStyle w:val="Normal"/><w:pBdr><w:top w:val="single" w:color="000000" w:space="1"/><w:bottom w:val="single" w:color="000000" w:space="1"/><w:left w:val="single" w:color="000000" w:space="1"/><w:right w:val="single" w:color="000000" w:space="1"/></w:pBdr><w:shd w:color="F5F5F5" w:val="clear"/><w:spacing w:before="100" w:after="100"/></w:pPr><w:r><w:t xml:space="preserve">from pydantic import validator
import re

class DataRecord(BaseModel):
    email: str
    phone: Optional[str] = None

    @validator(&apos;email&apos;)
    def email_valid(cls, v):
        if not re.match(r&apos;^[\w\.-]+@[\w\.-]+\.\w+$&apos;, v):
            raise ValueError(&apos;Invalid email format&apos;)
        return v.lower()

    @validator(&apos;phone&apos;)
    def phone_valid(cls, v):
        if v and not re.match(r&apos;^\+?1?\d{9,15}$&apos;, v):
            raise ValueError(&apos;Invalid phone format&apos;)
        return v</w:t></w:r></w:p><w:p><w:pPr><w:pStyle w:val="Heading3"/><w:spacing w:before="200" w:after="100"/></w:pPr><w:r><w:t xml:space="preserve">Field Constraints:</w:t></w:r></w:p><0/><w:p><w:pPr><w:pStyle w:val="Heading3"/><w:spacing w:before="200" w:after="100"/></w:pPr><w:r><w:t xml:space="preserve">Root Validators:</w:t></w:r></w:p><w:p><w:pPr><w:pStyle w:val="Normal"/><w:pBdr><w:top w:val="single" w:color="000000" w:space="1"/><w:bottom w:val="single" w:color="000000" w:space="1"/><w:left w:val="single" w:color="000000" w:space="1"/><w:right w:val="single" w:color="000000" w:space="1"/></w:pBdr><w:shd w:color="F5F5F5" w:val="clear"/><w:spacing w:before="100" w:after="100"/></w:pPr><w:r><w:t xml:space="preserve">from pydantic import root_validator

class Transaction(BaseModel):
    from_account: str
    to_account: str
    amount: float

    @root_validator
    def accounts_different(cls, values):
        if values.get(&apos;from_account&apos;) == values.get(&apos;to_account&apos;):
            raise ValueError(&apos;Cannot transfer to same account&apos;)
        return values</w:t></w:r></w:p><w:p><w:pPr><w:pStyle w:val="Heading2"/><w:spacing w:before="300" w:after="100"/></w:pPr><w:r><w:t xml:space="preserve">4. Data Versioning</w:t></w:r></w:p><w:p><w:pPr><w:spacing w:after="150"/></w:pPr><w:r><w:t xml:space="preserve">Data versioning enables reproducibility, compliance, and efficient storage. Several approaches are available:</w:t></w:r></w:p><w:p><w:pPr><w:pStyle w:val="Heading3"/><w:spacing w:before="100" w:after="100"/></w:pPr><w:r><w:t xml:space="preserve">Git-based Versioning (DVC):</w:t></w:r></w:p><0/><w:p><w:pPr><w:pStyle w:val="Heading3"/><w:spacing w:before="200" w:after="100"/></w:pPr><w:r><w:t xml:space="preserve">Database-based Versioning:</w:t></w:r></w:p><0/><w:p><w:pPr><w:pStyle w:val="Heading3"/><w:spacing w:before="200" w:after="100"/></w:pPr><w:r><w:t xml:space="preserve">Delta Lake / Apache Iceberg:</w:t></w:r></w:p><0/><w:p><w:pPr><w:pStyle w:val="Heading1"/><w:spacing w:before="600" w:after="200"/></w:pPr><w:r><w:t xml:space="preserve">Session 8: Databases for AI</w:t></w:r></w:p><w:p><w:pPr><w:pStyle w:val="Heading2"/><w:spacing w:before="100" w:after="100"/></w:pPr><w:r><w:t xml:space="preserve">Overview</w:t></w:r></w:p><w:p><w:pPr><w:spacing w:after="200"/></w:pPr><w:r><w:t xml:space="preserve">Choosing the right database is critical for AI applications. This session covers SQL fundamentals, PostgreSQL capabilities for AI, MongoDB for flexible schemas, and ORM best practices for database design.</w:t></w:r></w:p><w:p><w:pPr><w:pStyle w:val="Heading2"/><w:spacing w:before="300" w:after="100"/></w:pPr><w:r><w:t xml:space="preserve">1. SQL Review and Fundamentals</w:t></w:r></w:p><w:p><w:pPr><w:spacing w:after="150"/></w:pPr><w:r><w:t xml:space="preserve">SQL (Structured Query Language) is the standard for relational databases. Key concepts include:</w:t></w:r></w:p><0/><w:p><w:pPr><w:pStyle w:val="Heading2"/><w:spacing w:before="300" w:after="100"/></w:pPr><w:r><w:t xml:space="preserve">2. PostgreSQL for AI</w:t></w:r></w:p><w:p><w:pPr><w:spacing w:after="150"/></w:pPr><w:r><w:t xml:space="preserve">PostgreSQL is an advanced open-source relational database with excellent AI/ML support:</w:t></w:r></w:p><0/><w:p><w:pPr><w:pStyle w:val="Heading2"/><w:spacing w:before="300" w:after="100"/></w:pPr><w:r><w:t xml:space="preserve">3. MongoDB for AI</w:t></w:r></w:p><w:p><w:pPr><w:spacing w:after="150"/></w:pPr><w:r><w:t xml:space="preserve">MongoDB is a document database that provides flexibility for unstructured data:</w:t></w:r></w:p><0/><w:p><w:pPr><w:pStyle w:val="Heading1"/><w:spacing w:before="600" w:after="200"/></w:pPr><w:r><w:t xml:space="preserve">Session 9: Vector Databases</w:t></w:r></w:p><w:p><w:pPr><w:pStyle w:val="Heading2"/><w:spacing w:before="100" w:after="100"/></w:pPr><w:r><w:t xml:space="preserve">Overview</w:t></w:r></w:p><w:p><w:pPr><w:spacing w:after="200"/></w:pPr><w:r><w:t xml:space="preserve">Vector databases store and search high-dimensional embeddings, enabling semantic similarity search. They&apos;re essential for RAG (Retrieval-Augmented Generation) systems.</w:t></w:r></w:p><w:p><w:pPr><w:pStyle w:val="Heading2"/><w:spacing w:before="300" w:after="100"/></w:pPr><w:r><w:t xml:space="preserve">1. Embeddings and Similarity Search</w:t></w:r></w:p><w:p><w:pPr><w:spacing w:after="150"/></w:pPr><w:r><w:t xml:space="preserve">Embeddings are dense vector representations of data that capture semantic meaning. Common similarity metrics:</w:t></w:r></w:p><0/><w:p><w:pPr><w:pStyle w:val="Heading2"/><w:spacing w:before="300" w:after="100"/></w:pPr><w:r><w:t xml:space="preserve">2. Vector Database Options</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gridCol w:w="100"/></w:tblGrid><w:tr><w:tc><w:tcPr><w:shd w:color="1B365D" w:val="clear"/><w:tcMar><w:top w:type="dxa" w:w="80"/><w:left w:type="dxa" w:w="120"/><w:bottom w:type="dxa" w:w="80"/><w:right w:type="dxa" w:w="120"/></w:tcMar></w:tcPr><w:p><w:r><w:t xml:space="preserve">Database</w:t></w:r></w:p></w:tc><w:tc><w:tcPr><w:shd w:color="1B365D" w:val="clear"/><w:tcMar><w:top w:type="dxa" w:w="80"/><w:left w:type="dxa" w:w="120"/><w:bottom w:type="dxa" w:w="80"/><w:right w:type="dxa" w:w="120"/></w:tcMar></w:tcPr><w:p><w:r><w:t xml:space="preserve">Strengths</w:t></w:r></w:p></w:tc><w:tc><w:tcPr><w:shd w:color="1B365D" w:val="clear"/><w:tcMar><w:top w:type="dxa" w:w="80"/><w:left w:type="dxa" w:w="120"/><w:bottom w:type="dxa" w:w="80"/><w:right w:type="dxa" w:w="120"/></w:tcMar></w:tcPr><w:p><w:r><w:t xml:space="preserve">Best For</w:t></w:r></w:p></w:tc></w:tr><w:tr><w:tc><w:tcPr><w:tcMar><w:top w:type="dxa" w:w="80"/><w:left w:type="dxa" w:w="120"/><w:bottom w:type="dxa" w:w="80"/><w:right w:type="dxa" w:w="120"/></w:tcMar></w:tcPr><w:p><w:r><w:t xml:space="preserve">Pinecone</w:t></w:r></w:p></w:tc><w:tc><w:tcPr><w:tcMar><w:top w:type="dxa" w:w="80"/><w:left w:type="dxa" w:w="120"/><w:bottom w:type="dxa" w:w="80"/><w:right w:type="dxa" w:w="120"/></w:tcMar></w:tcPr><w:p><w:r><w:t xml:space="preserve">Fully managed, fast, scalable</w:t></w:r></w:p></w:tc><w:tc><w:tcPr><w:tcMar><w:top w:type="dxa" w:w="80"/><w:left w:type="dxa" w:w="120"/><w:bottom w:type="dxa" w:w="80"/><w:right w:type="dxa" w:w="120"/></w:tcMar></w:tcPr><w:p><w:r><w:t xml:space="preserve">Production RAG systems</w:t></w:r></w:p></w:tc></w:tr><w:tr><w:tc><w:tcPr><w:tcMar><w:top w:type="dxa" w:w="80"/><w:left w:type="dxa" w:w="120"/><w:bottom w:type="dxa" w:w="80"/><w:right w:type="dxa" w:w="120"/></w:tcMar></w:tcPr><w:p><w:r><w:t xml:space="preserve">ChromaDB</w:t></w:r></w:p></w:tc><w:tc><w:tcPr><w:tcMar><w:top w:type="dxa" w:w="80"/><w:left w:type="dxa" w:w="120"/><w:bottom w:type="dxa" w:w="80"/><w:right w:type="dxa" w:w="120"/></w:tcMar></w:tcPr><w:p><w:r><w:t xml:space="preserve">Lightweight, easy to use</w:t></w:r></w:p></w:tc><w:tc><w:tcPr><w:tcMar><w:top w:type="dxa" w:w="80"/><w:left w:type="dxa" w:w="120"/><w:bottom w:type="dxa" w:w="80"/><w:right w:type="dxa" w:w="120"/></w:tcMar></w:tcPr><w:p><w:r><w:t xml:space="preserve">Prototyping, smaller datasets</w:t></w:r></w:p></w:tc></w:tr><w:tr><w:tc><w:tcPr><w:tcMar><w:top w:type="dxa" w:w="80"/><w:left w:type="dxa" w:w="120"/><w:bottom w:type="dxa" w:w="80"/><w:right w:type="dxa" w:w="120"/></w:tcMar></w:tcPr><w:p><w:r><w:t xml:space="preserve">Weaviate</w:t></w:r></w:p></w:tc><w:tc><w:tcPr><w:tcMar><w:top w:type="dxa" w:w="80"/><w:left w:type="dxa" w:w="120"/><w:bottom w:type="dxa" w:w="80"/><w:right w:type="dxa" w:w="120"/></w:tcMar></w:tcPr><w:p><w:r><w:t xml:space="preserve">Rich semantics, flexible</w:t></w:r></w:p></w:tc><w:tc><w:tcPr><w:tcMar><w:top w:type="dxa" w:w="80"/><w:left w:type="dxa" w:w="120"/><w:bottom w:type="dxa" w:w="80"/><w:right w:type="dxa" w:w="120"/></w:tcMar></w:tcPr><w:p><w:r><w:t xml:space="preserve">Complex search scenarios</w:t></w:r></w:p></w:tc></w:tr><w:tr><w:tc><w:tcPr><w:tcMar><w:top w:type="dxa" w:w="80"/><w:left w:type="dxa" w:w="120"/><w:bottom w:type="dxa" w:w="80"/><w:right w:type="dxa" w:w="120"/></w:tcMar></w:tcPr><w:p><w:r><w:t xml:space="preserve">Milvus</w:t></w:r></w:p></w:tc><w:tc><w:tcPr><w:tcMar><w:top w:type="dxa" w:w="80"/><w:left w:type="dxa" w:w="120"/><w:bottom w:type="dxa" w:w="80"/><w:right w:type="dxa" w:w="120"/></w:tcMar></w:tcPr><w:p><w:r><w:t xml:space="preserve">Open-source, performant</w:t></w:r></w:p></w:tc><w:tc><w:tcPr><w:tcMar><w:top w:type="dxa" w:w="80"/><w:left w:type="dxa" w:w="120"/><w:bottom w:type="dxa" w:w="80"/><w:right w:type="dxa" w:w="120"/></w:tcMar></w:tcPr><w:p><w:r><w:t xml:space="preserve">Self-hosted deployments</w:t></w:r></w:p></w:tc></w:tr></w:tbl><w:p><w:pPr><w:pStyle w:val="Heading2"/><w:spacing w:before="300" w:after="100"/></w:pPr><w:r><w:t xml:space="preserve">3. Indexing and Optimization</w:t></w:r></w:p><w:p><w:pPr><w:spacing w:after="150"/></w:pPr><w:r><w:t xml:space="preserve">Vector indices enable fast approximate nearest neighbor search:</w:t></w:r></w:p><0/><w:p><w:pPr><w:pStyle w:val="Heading1"/><w:spacing w:before="600" w:after="200"/></w:pPr><w:r><w:t xml:space="preserve">Glossary</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shd w:color="1B365D" w:val="clear"/><w:tcMar><w:top w:type="dxa" w:w="80"/><w:left w:type="dxa" w:w="120"/><w:bottom w:type="dxa" w:w="80"/><w:right w:type="dxa" w:w="120"/></w:tcMar></w:tcPr><w:p><w:r><w:t xml:space="preserve">Term</w:t></w:r></w:p></w:tc><w:tc><w:tcPr><w:shd w:color="1B365D" w:val="clear"/><w:tcMar><w:top w:type="dxa" w:w="80"/><w:left w:type="dxa" w:w="120"/><w:bottom w:type="dxa" w:w="80"/><w:right w:type="dxa" w:w="120"/></w:tcMar></w:tcPr><w:p><w:r><w:t xml:space="preserve">Definition</w:t></w:r></w:p></w:tc></w:tr><w:tr><w:tc><w:tcPr><w:tcMar><w:top w:type="dxa" w:w="80"/><w:left w:type="dxa" w:w="120"/><w:bottom w:type="dxa" w:w="80"/><w:right w:type="dxa" w:w="120"/></w:tcMar></w:tcPr><w:p><w:r><w:t xml:space="preserve">ETL</w:t></w:r></w:p></w:tc><w:tc><w:tcPr><w:tcMar><w:top w:type="dxa" w:w="80"/><w:left w:type="dxa" w:w="120"/><w:bottom w:type="dxa" w:w="80"/><w:right w:type="dxa" w:w="120"/></w:tcMar></w:tcPr><w:p><w:r><w:t xml:space="preserve">Extract-Transform-Load data pipeline pattern</w:t></w:r></w:p></w:tc></w:tr><w:tr><w:tc><w:tcPr><w:tcMar><w:top w:type="dxa" w:w="80"/><w:left w:type="dxa" w:w="120"/><w:bottom w:type="dxa" w:w="80"/><w:right w:type="dxa" w:w="120"/></w:tcMar></w:tcPr><w:p><w:r><w:t xml:space="preserve">ELT</w:t></w:r></w:p></w:tc><w:tc><w:tcPr><w:tcMar><w:top w:type="dxa" w:w="80"/><w:left w:type="dxa" w:w="120"/><w:bottom w:type="dxa" w:w="80"/><w:right w:type="dxa" w:w="120"/></w:tcMar></w:tcPr><w:p><w:r><w:t xml:space="preserve">Extract-Load-Transform data pipeline pattern</w:t></w:r></w:p></w:tc></w:tr><w:tr><w:tc><w:tcPr><w:tcMar><w:top w:type="dxa" w:w="80"/><w:left w:type="dxa" w:w="120"/><w:bottom w:type="dxa" w:w="80"/><w:right w:type="dxa" w:w="120"/></w:tcMar></w:tcPr><w:p><w:r><w:t xml:space="preserve">Pydantic</w:t></w:r></w:p></w:tc><w:tc><w:tcPr><w:tcMar><w:top w:type="dxa" w:w="80"/><w:left w:type="dxa" w:w="120"/><w:bottom w:type="dxa" w:w="80"/><w:right w:type="dxa" w:w="120"/></w:tcMar></w:tcPr><w:p><w:r><w:t xml:space="preserve">Python library for data validation using type hints</w:t></w:r></w:p></w:tc></w:tr><w:tr><w:tc><w:tcPr><w:tcMar><w:top w:type="dxa" w:w="80"/><w:left w:type="dxa" w:w="120"/><w:bottom w:type="dxa" w:w="80"/><w:right w:type="dxa" w:w="120"/></w:tcMar></w:tcPr><w:p><w:r><w:t xml:space="preserve">DVC</w:t></w:r></w:p></w:tc><w:tc><w:tcPr><w:tcMar><w:top w:type="dxa" w:w="80"/><w:left w:type="dxa" w:w="120"/><w:bottom w:type="dxa" w:w="80"/><w:right w:type="dxa" w:w="120"/></w:tcMar></w:tcPr><w:p><w:r><w:t xml:space="preserve">Data Version Control for tracking large files</w:t></w:r></w:p></w:tc></w:tr><w:tr><w:tc><w:tcPr><w:tcMar><w:top w:type="dxa" w:w="80"/><w:left w:type="dxa" w:w="120"/><w:bottom w:type="dxa" w:w="80"/><w:right w:type="dxa" w:w="120"/></w:tcMar></w:tcPr><w:p><w:r><w:t xml:space="preserve">Vector</w:t></w:r></w:p></w:tc><w:tc><w:tcPr><w:tcMar><w:top w:type="dxa" w:w="80"/><w:left w:type="dxa" w:w="120"/><w:bottom w:type="dxa" w:w="80"/><w:right w:type="dxa" w:w="120"/></w:tcMar></w:tcPr><w:p><w:r><w:t xml:space="preserve">Array of numbers representing semantic meaning</w:t></w:r></w:p></w:tc></w:tr><w:tr><w:tc><w:tcPr><w:tcMar><w:top w:type="dxa" w:w="80"/><w:left w:type="dxa" w:w="120"/><w:bottom w:type="dxa" w:w="80"/><w:right w:type="dxa" w:w="120"/></w:tcMar></w:tcPr><w:p><w:r><w:t xml:space="preserve">Embedding</w:t></w:r></w:p></w:tc><w:tc><w:tcPr><w:tcMar><w:top w:type="dxa" w:w="80"/><w:left w:type="dxa" w:w="120"/><w:bottom w:type="dxa" w:w="80"/><w:right w:type="dxa" w:w="120"/></w:tcMar></w:tcPr><w:p><w:r><w:t xml:space="preserve">Dense vector representation of text/data</w:t></w:r></w:p></w:tc></w:tr><w:tr><w:tc><w:tcPr><w:tcMar><w:top w:type="dxa" w:w="80"/><w:left w:type="dxa" w:w="120"/><w:bottom w:type="dxa" w:w="80"/><w:right w:type="dxa" w:w="120"/></w:tcMar></w:tcPr><w:p><w:r><w:t xml:space="preserve">RAG</w:t></w:r></w:p></w:tc><w:tc><w:tcPr><w:tcMar><w:top w:type="dxa" w:w="80"/><w:left w:type="dxa" w:w="120"/><w:bottom w:type="dxa" w:w="80"/><w:right w:type="dxa" w:w="120"/></w:tcMar></w:tcPr><w:p><w:r><w:t xml:space="preserve">Retrieval-Augmented Generation for LLM enhancement</w:t></w:r></w:p></w:tc></w:tr><w:tr><w:tc><w:tcPr><w:tcMar><w:top w:type="dxa" w:w="80"/><w:left w:type="dxa" w:w="120"/><w:bottom w:type="dxa" w:w="80"/><w:right w:type="dxa" w:w="120"/></w:tcMar></w:tcPr><w:p><w:r><w:t xml:space="preserve">HNSW</w:t></w:r></w:p></w:tc><w:tc><w:tcPr><w:tcMar><w:top w:type="dxa" w:w="80"/><w:left w:type="dxa" w:w="120"/><w:bottom w:type="dxa" w:w="80"/><w:right w:type="dxa" w:w="120"/></w:tcMar></w:tcPr><w:p><w:r><w:t xml:space="preserve">Hierarchical Navigable Small World indexing</w:t></w:r></w:p></w:tc></w:tr><w:tr><w:tc><w:tcPr><w:tcMar><w:top w:type="dxa" w:w="80"/><w:left w:type="dxa" w:w="120"/><w:bottom w:type="dxa" w:w="80"/><w:right w:type="dxa" w:w="120"/></w:tcMar></w:tcPr><w:p><w:r><w:t xml:space="preserve">pgvector</w:t></w:r></w:p></w:tc><w:tc><w:tcPr><w:tcMar><w:top w:type="dxa" w:w="80"/><w:left w:type="dxa" w:w="120"/><w:bottom w:type="dxa" w:w="80"/><w:right w:type="dxa" w:w="120"/></w:tcMar></w:tcPr><w:p><w:r><w:t xml:space="preserve">PostgreSQL extension for vector operations</w:t></w:r></w:p></w:tc></w:tr></w:tbl><w:p><w:pPr><w:pStyle w:val="Heading1"/><w:spacing w:before="600" w:after="200"/></w:pPr><w:r><w:t xml:space="preserve">Recommended Reading</w:t></w:r></w:p><0/><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2026-02-14T03:10:23.090Z</dcterms:created>
  <dcterms:modified xsi:type="dcterms:W3CDTF">2026-02-14T03:10:23.090Z</dcterms:modified>
</cp:coreProperties>
</file>

<file path=docProps/custom.xml><?xml version="1.0" encoding="utf-8"?>
<Properties xmlns="http://schemas.openxmlformats.org/officeDocument/2006/custom-properties" xmlns:vt="http://schemas.openxmlformats.org/officeDocument/2006/docPropsVTypes"/>
</file>