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pStyle w:val="Heading1"/><w:spacing w:after="200"/><w:jc w:val="center"/></w:pPr><w:r><w:t xml:space="preserve">AI for Engineers - Week 4 Class Notes</w:t></w:r></w:p><w:p><w:pPr><w:pStyle w:val="Heading2"/><w:spacing w:after="400"/><w:jc w:val="center"/></w:pPr><w:r><w:t xml:space="preserve">Building with Large Language Models</w:t></w:r></w:p><w:p><w:pPr><w:pStyle w:val="Heading1"/><w:spacing w:before="400" w:after="200"/></w:pPr><w:r><w:t xml:space="preserve">Session 10: Prompt Engineering Fundamentals</w:t></w:r></w:p><w:p><w:pPr><w:pStyle w:val="Heading2"/><w:spacing w:before="100" w:after="150"/></w:pPr><w:r><w:t xml:space="preserve">Overview</w:t></w:r></w:p><w:p><w:pPr><w:spacing w:after="200"/></w:pPr><w:r><w:t xml:space="preserve">Prompt engineering is the practice of designing and refining text inputs to elicit desired outputs from language models. It bridges the gap between model capabilities and practical applications.</w:t></w:r></w:p><w:p><w:pPr><w:pStyle w:val="Heading2"/><w:spacing w:before="200" w:after="150"/></w:pPr><w:r><w:t xml:space="preserve">1. System Prompts and Personas</w:t></w:r></w:p><w:p><w:pPr><w:spacing w:after="150"/></w:pPr><w:r><w:t xml:space="preserve">A system prompt defines the model&apos;s role, behavior, and constraints. It acts as the personality layer for the model.</w:t></w:r></w:p><w:p><w:pPr><w:pStyle w:val="Normal"/><w:pBdr><w:top w:val="single" w:color="000000" w:space="1"/><w:bottom w:val="single" w:color="000000" w:space="1"/><w:left w:val="single" w:color="000000" w:space="1"/><w:right w:val="single" w:color="000000" w:space="1"/></w:pBdr><w:shd w:color="F5F5F5" w:val="clear"/><w:spacing w:before="100" w:after="100"/></w:pPr><w:r><w:t xml:space="preserve">System Prompt Example:
&quot;You are an experienced Python developer with 10+ years of expertise.
You excel at writing clean, well-documented code with comprehensive error handling.
When providing code, always include:
- Type hints for all parameters and returns
- Docstrings explaining the purpose and behavior
- Error handling for edge cases
- Unit test examples

Respond in a friendly, encouraging tone.
If a request seems unclear, ask clarifying questions.&quot;</w:t></w:r></w:p><w:p><w:pPr><w:pStyle w:val="Heading3"/><w:spacing w:before="200" w:after="100"/></w:pPr><w:r><w:t xml:space="preserve">Key Elements:</w:t></w:r></w:p><0/><w:p><w:pPr><w:pStyle w:val="Heading2"/><w:spacing w:before="300" w:after="150"/></w:pPr><w:r><w:t xml:space="preserve">2. Few-shot and Zero-shot Prompting</w:t></w:r></w:p><w:p><w:pPr><w:spacing w:after="150"/></w:pPr><w:r><w:t xml:space="preserve">Few-shot prompting provides examples in the prompt to guide behavior. Zero-shot relies on instruction alone.</w:t></w:r></w:p><w:p><w:pPr><w:pStyle w:val="Heading3"/><w:spacing w:before="100" w:after="100"/></w:pPr><w:r><w:t xml:space="preserve">Zero-shot Example:</w:t></w:r></w:p><w:p><w:pPr><w:pStyle w:val="Normal"/><w:pBdr><w:top w:val="single" w:color="000000" w:space="1"/><w:bottom w:val="single" w:color="000000" w:space="1"/><w:left w:val="single" w:color="000000" w:space="1"/><w:right w:val="single" w:color="000000" w:space="1"/></w:pBdr><w:shd w:color="F5F5F5" w:val="clear"/><w:spacing w:before="100" w:after="100"/></w:pPr><w:r><w:t xml:space="preserve">Classify the sentiment of this review:
&quot;The product works great and arrived on time!&quot;

Answer: positive</w:t></w:r></w:p><w:p><w:pPr><w:pStyle w:val="Heading3"/><w:spacing w:before="200" w:after="100"/></w:pPr><w:r><w:t xml:space="preserve">Few-shot Example:</w:t></w:r></w:p><w:p><w:pPr><w:pStyle w:val="Normal"/><w:pBdr><w:top w:val="single" w:color="000000" w:space="1"/><w:bottom w:val="single" w:color="000000" w:space="1"/><w:left w:val="single" w:color="000000" w:space="1"/><w:right w:val="single" w:color="000000" w:space="1"/></w:pBdr><w:shd w:color="F5F5F5" w:val="clear"/><w:spacing w:before="100" w:after="100"/></w:pPr><w:r><w:t xml:space="preserve">Classify sentiment of reviews:

Review: &quot;Excellent product, fast shipping&quot;
Sentiment: positive

Review: &quot;Broken on arrival, poor quality&quot;
Sentiment: negative

Review: &quot;It&apos;s okay, nothing special&quot;
Sentiment: neutral

Review: &quot;Works perfectly and looks great!&quot;
Sentiment: </w:t></w:r></w:p><w:p><w:pPr><w:pStyle w:val="Heading3"/><w:spacing w:before="200" w:after="100"/></w:pPr><w:r><w:t xml:space="preserve">Best Practices:</w:t></w:r></w:p><0/><w:p><w:pPr><w:pStyle w:val="Heading2"/><w:spacing w:before="300" w:after="150"/></w:pPr><w:r><w:t xml:space="preserve">3. Chain-of-Thought Prompting</w:t></w:r></w:p><w:p><w:pPr><w:spacing w:after="150"/></w:pPr><w:r><w:t xml:space="preserve">CoT prompting requests intermediate reasoning steps before the final answer, improving accuracy on complex tasks.</w:t></w:r></w:p><w:p><w:pPr><w:pStyle w:val="Normal"/><w:pBdr><w:top w:val="single" w:color="000000" w:space="1"/><w:bottom w:val="single" w:color="000000" w:space="1"/><w:left w:val="single" w:color="000000" w:space="1"/><w:right w:val="single" w:color="000000" w:space="1"/></w:pBdr><w:shd w:color="F5F5F5" w:val="clear"/><w:spacing w:before="100" w:after="100"/></w:pPr><w:r><w:t xml:space="preserve">Without CoT:
Q: &quot;A store has 100 apples. They sell 30, then receive 50 more. How many do they have?&quot;
A: 120

With CoT:
Q: &quot;A store has 100 apples. They sell 30, then receive 50 more. How many do they have?&quot;
A: &quot;Let me work through this step by step:
1. Starting amount: 100 apples
2. After selling 30: 100 - 30 = 70 apples
3. After receiving 50: 70 + 50 = 120 apples
Therefore, they have 120 apples.&quot;</w:t></w:r></w:p><w:p><w:pPr><w:spacing w:before="200" w:after="150"/></w:pPr><w:r><w:t xml:space="preserve">Impact:</w:t></w:r></w:p><0/><w:p><w:pPr><w:pStyle w:val="Heading2"/><w:spacing w:before="300" w:after="150"/></w:pPr><w:r><w:t xml:space="preserve">4. Structured Output with JSON</w:t></w:r></w:p><w:p><w:pPr><w:spacing w:after="150"/></w:pPr><w:r><w:t xml:space="preserve">Specify JSON schemas to ensure consistent, parseable output.</w:t></w:r></w:p><w:p><w:pPr><w:pStyle w:val="Normal"/><w:pBdr><w:top w:val="single" w:color="000000" w:space="1"/><w:bottom w:val="single" w:color="000000" w:space="1"/><w:left w:val="single" w:color="000000" w:space="1"/><w:right w:val="single" w:color="000000" w:space="1"/></w:pBdr><w:shd w:color="F5F5F5" w:val="clear"/><w:spacing w:before="100" w:after="100"/></w:pPr><w:r><w:t xml:space="preserve">Prompt:
&quot;Extract information from this text and respond ONLY with valid JSON:

Text: &apos;John Smith works at Acme Corp as a Senior Engineer&apos;

Response format:
{
  &quot;name&quot;: &quot;person&apos;s full name&quot;,
  &quot;company&quot;: &quot;company name&quot;,
  &quot;title&quot;: &quot;job title&quot;
}

Your response (JSON only):&quot;</w:t></w:r></w:p><w:p><w:pPr><w:pStyle w:val="Heading1"/><w:spacing w:before="500" w:after="200"/></w:pPr><w:r><w:t xml:space="preserve">Session 11: Fine-Tuning Fundamentals</w:t></w:r></w:p><w:p><w:pPr><w:pStyle w:val="Heading2"/><w:spacing w:before="200" w:after="150"/></w:pPr><w:r><w:t xml:space="preserve">1. When to Fine-Tune</w:t></w:r></w:p><w:p><w:pPr><w:spacing w:after="150"/></w:pPr><w:r><w:t xml:space="preserve">Fine-tuning adapts a pre-trained model to specific tasks or domains.</w:t></w:r></w:p><0/><w:p><w:pPr><w:pStyle w:val="Heading2"/><w:spacing w:before="300" w:after="150"/></w:pPr><w:r><w:t xml:space="preserve">2. Data Preparation</w:t></w:r></w:p><w:p><w:pPr><w:spacing w:after="150"/></w:pPr><w:r><w:t xml:space="preserve">Quality training data is essential. Follow these guidelines:</w:t></w:r></w:p><0/><w:p><w:pPr><w:pStyle w:val="Heading2"/><w:spacing w:before="300" w:after="150"/></w:pPr><w:r><w:t xml:space="preserve">3. LoRA and QLoRA</w:t></w:r></w:p><w:p><w:pPr><w:spacing w:after="150"/></w:pPr><w:r><w:t xml:space="preserve">Low-Rank Adaptation (LoRA) and Quantized LoRA (QLoRA) enable efficient fine-tuning.</w:t></w:r></w:p><0/><w:p><w:pPr><w:pStyle w:val="Heading2"/><w:spacing w:before="300" w:after="150"/></w:pPr><w:r><w:t xml:space="preserve">4. Evaluation Metrics</w:t></w:r></w:p><w:p><w:pPr><w:spacing w:after="150"/></w:pPr><w:r><w:t xml:space="preserve">Measure fine-tuning effectiveness with appropriate metrics:</w:t></w:r></w:p><0/><w:p><w:pPr><w:pStyle w:val="Heading1"/><w:spacing w:before="500" w:after="200"/></w:pPr><w:r><w:t xml:space="preserve">Session 12: LLM Application Patterns</w:t></w:r></w:p><w:p><w:pPr><w:pStyle w:val="Heading2"/><w:spacing w:before="200" w:after="150"/></w:pPr><w:r><w:t xml:space="preserve">1. Chatbots and Conversational AI</w:t></w:r></w:p><0/><w:p><w:pPr><w:pStyle w:val="Heading2"/><w:spacing w:before="300" w:after="150"/></w:pPr><w:r><w:t xml:space="preserve">2. Text Summarization</w:t></w:r></w:p><0/><w:p><w:pPr><w:pStyle w:val="Heading2"/><w:spacing w:before="300" w:after="150"/></w:pPr><w:r><w:t xml:space="preserve">3. Information Extraction</w:t></w:r></w:p><0/><w:p><w:pPr><w:pStyle w:val="Heading2"/><w:spacing w:before="300" w:after="150"/></w:pPr><w:r><w:t xml:space="preserve">4. Code Generation</w:t></w:r></w:p><0/><w:p><w:pPr><w:pStyle w:val="Heading1"/><w:spacing w:before="500" w:after="200"/></w:pPr><w:r><w:t xml:space="preserve">Glossary</w:t></w: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w:gridCol w:w="100"/></w:tblGrid><w:tr><w:tc><w:tcPr><w:shd w:color="1B365D" w:val="clear"/><w:tcMar><w:top w:type="dxa" w:w="80"/><w:left w:type="dxa" w:w="120"/><w:bottom w:type="dxa" w:w="80"/><w:right w:type="dxa" w:w="120"/></w:tcMar></w:tcPr><w:p><w:r><w:t xml:space="preserve">Term</w:t></w:r></w:p></w:tc><w:tc><w:tcPr><w:shd w:color="1B365D" w:val="clear"/><w:tcMar><w:top w:type="dxa" w:w="80"/><w:left w:type="dxa" w:w="120"/><w:bottom w:type="dxa" w:w="80"/><w:right w:type="dxa" w:w="120"/></w:tcMar></w:tcPr><w:p><w:r><w:t xml:space="preserve">Definition</w:t></w:r></w:p></w:tc></w:tr><w:tr><w:tc><w:tcPr><w:tcMar><w:top w:type="dxa" w:w="80"/><w:left w:type="dxa" w:w="120"/><w:bottom w:type="dxa" w:w="80"/><w:right w:type="dxa" w:w="120"/></w:tcMar></w:tcPr><w:p><w:r><w:t xml:space="preserve">CoT</w:t></w:r></w:p></w:tc><w:tc><w:tcPr><w:tcMar><w:top w:type="dxa" w:w="80"/><w:left w:type="dxa" w:w="120"/><w:bottom w:type="dxa" w:w="80"/><w:right w:type="dxa" w:w="120"/></w:tcMar></w:tcPr><w:p><w:r><w:t xml:space="preserve">Chain-of-Thought: prompting for step-by-step reasoning</w:t></w:r></w:p></w:tc></w:tr><w:tr><w:tc><w:tcPr><w:tcMar><w:top w:type="dxa" w:w="80"/><w:left w:type="dxa" w:w="120"/><w:bottom w:type="dxa" w:w="80"/><w:right w:type="dxa" w:w="120"/></w:tcMar></w:tcPr><w:p><w:r><w:t xml:space="preserve">Few-shot</w:t></w:r></w:p></w:tc><w:tc><w:tcPr><w:tcMar><w:top w:type="dxa" w:w="80"/><w:left w:type="dxa" w:w="120"/><w:bottom w:type="dxa" w:w="80"/><w:right w:type="dxa" w:w="120"/></w:tcMar></w:tcPr><w:p><w:r><w:t xml:space="preserve">Learning from 2-5 examples in the prompt</w:t></w:r></w:p></w:tc></w:tr><w:tr><w:tc><w:tcPr><w:tcMar><w:top w:type="dxa" w:w="80"/><w:left w:type="dxa" w:w="120"/><w:bottom w:type="dxa" w:w="80"/><w:right w:type="dxa" w:w="120"/></w:tcMar></w:tcPr><w:p><w:r><w:t xml:space="preserve">Zero-shot</w:t></w:r></w:p></w:tc><w:tc><w:tcPr><w:tcMar><w:top w:type="dxa" w:w="80"/><w:left w:type="dxa" w:w="120"/><w:bottom w:type="dxa" w:w="80"/><w:right w:type="dxa" w:w="120"/></w:tcMar></w:tcPr><w:p><w:r><w:t xml:space="preserve">Answering without examples, instruction only</w:t></w:r></w:p></w:tc></w:tr><w:tr><w:tc><w:tcPr><w:tcMar><w:top w:type="dxa" w:w="80"/><w:left w:type="dxa" w:w="120"/><w:bottom w:type="dxa" w:w="80"/><w:right w:type="dxa" w:w="120"/></w:tcMar></w:tcPr><w:p><w:r><w:t xml:space="preserve">LoRA</w:t></w:r></w:p></w:tc><w:tc><w:tcPr><w:tcMar><w:top w:type="dxa" w:w="80"/><w:left w:type="dxa" w:w="120"/><w:bottom w:type="dxa" w:w="80"/><w:right w:type="dxa" w:w="120"/></w:tcMar></w:tcPr><w:p><w:r><w:t xml:space="preserve">Low-Rank Adaptation for efficient fine-tuning</w:t></w:r></w:p></w:tc></w:tr><w:tr><w:tc><w:tcPr><w:tcMar><w:top w:type="dxa" w:w="80"/><w:left w:type="dxa" w:w="120"/><w:bottom w:type="dxa" w:w="80"/><w:right w:type="dxa" w:w="120"/></w:tcMar></w:tcPr><w:p><w:r><w:t xml:space="preserve">QLoRA</w:t></w:r></w:p></w:tc><w:tc><w:tcPr><w:tcMar><w:top w:type="dxa" w:w="80"/><w:left w:type="dxa" w:w="120"/><w:bottom w:type="dxa" w:w="80"/><w:right w:type="dxa" w:w="120"/></w:tcMar></w:tcPr><w:p><w:r><w:t xml:space="preserve">Quantized LoRA for memory-efficient training</w:t></w:r></w:p></w:tc></w:tr><w:tr><w:tc><w:tcPr><w:tcMar><w:top w:type="dxa" w:w="80"/><w:left w:type="dxa" w:w="120"/><w:bottom w:type="dxa" w:w="80"/><w:right w:type="dxa" w:w="120"/></w:tcMar></w:tcPr><w:p><w:r><w:t xml:space="preserve">Prompt</w:t></w:r></w:p></w:tc><w:tc><w:tcPr><w:tcMar><w:top w:type="dxa" w:w="80"/><w:left w:type="dxa" w:w="120"/><w:bottom w:type="dxa" w:w="80"/><w:right w:type="dxa" w:w="120"/></w:tcMar></w:tcPr><w:p><w:r><w:t xml:space="preserve">Text input that guides model behavior</w:t></w:r></w:p></w:tc></w:tr><w:tr><w:tc><w:tcPr><w:tcMar><w:top w:type="dxa" w:w="80"/><w:left w:type="dxa" w:w="120"/><w:bottom w:type="dxa" w:w="80"/><w:right w:type="dxa" w:w="120"/></w:tcMar></w:tcPr><w:p><w:r><w:t xml:space="preserve">System Prompt</w:t></w:r></w:p></w:tc><w:tc><w:tcPr><w:tcMar><w:top w:type="dxa" w:w="80"/><w:left w:type="dxa" w:w="120"/><w:bottom w:type="dxa" w:w="80"/><w:right w:type="dxa" w:w="120"/></w:tcMar></w:tcPr><w:p><w:r><w:t xml:space="preserve">Special prompt that defines model personality</w:t></w:r></w:p></w:tc></w:tr><w:tr><w:tc><w:tcPr><w:tcMar><w:top w:type="dxa" w:w="80"/><w:left w:type="dxa" w:w="120"/><w:bottom w:type="dxa" w:w="80"/><w:right w:type="dxa" w:w="120"/></w:tcMar></w:tcPr><w:p><w:r><w:t xml:space="preserve">Fine-tuning</w:t></w:r></w:p></w:tc><w:tc><w:tcPr><w:tcMar><w:top w:type="dxa" w:w="80"/><w:left w:type="dxa" w:w="120"/><w:bottom w:type="dxa" w:w="80"/><w:right w:type="dxa" w:w="120"/></w:tcMar></w:tcPr><w:p><w:r><w:t xml:space="preserve">Adapting pre-trained model to specific task</w:t></w:r></w:p></w:tc></w:tr><w:tr><w:tc><w:tcPr><w:tcMar><w:top w:type="dxa" w:w="80"/><w:left w:type="dxa" w:w="120"/><w:bottom w:type="dxa" w:w="80"/><w:right w:type="dxa" w:w="120"/></w:tcMar></w:tcPr><w:p><w:r><w:t xml:space="preserve">Semantic Search</w:t></w:r></w:p></w:tc><w:tc><w:tcPr><w:tcMar><w:top w:type="dxa" w:w="80"/><w:left w:type="dxa" w:w="120"/><w:bottom w:type="dxa" w:w="80"/><w:right w:type="dxa" w:w="120"/></w:tcMar></w:tcPr><w:p><w:r><w:t xml:space="preserve">Finding similar text by meaning</w:t></w:r></w:p></w:tc></w:tr></w:tbl><w:sectPr><w:pgSz w:w="11906" w:h="16838" w:orient="portrait"/><w:pgMar w:top="1440" w:right="1440" w:bottom="1440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2026-02-14T03:12:56.468Z</dcterms:created>
  <dcterms:modified xsi:type="dcterms:W3CDTF">2026-02-14T03:12:56.469Z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