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p>
    <w:p>
      <w:pPr>
        <w:spacing w:after="120"/>
        <w:jc w:val="center"/>
        <w:rPr>
          <w:rFonts w:ascii="Arial" w:cs="Arial" w:eastAsia="Arial" w:hAnsi="Arial"/>
          <w:b/>
          <w:bCs/>
          <w:color w:val="1B365D"/>
          <w:sz w:val="48"/>
          <w:szCs w:val="48"/>
        </w:rPr>
      </w:pPr>
      <w:r>
        <w:t xml:space="preserve">Proxiant Academy</w:t>
      </w:r>
    </w:p>
    <w:p>
      <w:pPr>
        <w:spacing w:after="600"/>
        <w:jc w:val="center"/>
        <w:rPr>
          <w:rFonts w:ascii="Arial" w:cs="Arial" w:eastAsia="Arial" w:hAnsi="Arial"/>
          <w:i/>
          <w:iCs/>
          <w:color w:val="2E86AB"/>
          <w:sz w:val="24"/>
          <w:szCs w:val="24"/>
        </w:rPr>
      </w:pPr>
      <w:r>
        <w:t xml:space="preserve">Master AI. Professionally.</w:t>
      </w:r>
    </w:p>
    <w:p>
      <w:pPr>
        <w:spacing w:after="400"/>
        <w:jc w:val="center"/>
        <w:rPr>
          <w:rFonts w:ascii="Arial" w:cs="Arial" w:eastAsia="Arial" w:hAnsi="Arial"/>
          <w:b/>
          <w:bCs/>
          <w:color w:val="1B365D"/>
          <w:sz w:val="28"/>
          <w:szCs w:val="28"/>
        </w:rPr>
      </w:pPr>
      <w:r>
        <w:t xml:space="preserve">AI for Finance Course</w:t>
      </w:r>
    </w:p>
    <w:p>
      <w:pPr>
        <w:spacing w:after="800"/>
        <w:jc w:val="center"/>
        <w:rPr>
          <w:rFonts w:ascii="Arial" w:cs="Arial" w:eastAsia="Arial" w:hAnsi="Arial"/>
          <w:b/>
          <w:bCs/>
          <w:color w:val="1B365D"/>
          <w:sz w:val="32"/>
          <w:szCs w:val="32"/>
        </w:rPr>
      </w:pPr>
      <w:r>
        <w:t xml:space="preserve">Class 7: Time Series Forecasting (LSTM &amp; Transformers)</w:t>
      </w:r>
    </w:p>
    <w:p>
      <w:pPr>
        <w:spacing w:after="1000"/>
        <w:jc w:val="center"/>
        <w:rPr>
          <w:rFonts w:ascii="Arial" w:cs="Arial" w:eastAsia="Arial" w:hAnsi="Arial"/>
          <w:i/>
          <w:iCs/>
          <w:color w:val="333333"/>
          <w:sz w:val="20"/>
          <w:szCs w:val="20"/>
        </w:rPr>
      </w:pPr>
      <w:r>
        <w:t xml:space="preserve">Comprehensive Notes &amp; Implementation Guide</w:t>
      </w:r>
    </w:p>
    <w:p>
      <w:pPr>
        <w:jc w:val="center"/>
        <w:rPr>
          <w:rFonts w:ascii="Arial" w:cs="Arial" w:eastAsia="Arial" w:hAnsi="Arial"/>
          <w:color w:val="333333"/>
          <w:sz w:val="20"/>
          <w:szCs w:val="20"/>
        </w:rPr>
      </w:pPr>
      <w:r>
        <w:t xml:space="preserve">Date: February 14, 2026</w:t>
      </w:r>
    </w:p>
    <w:r>
      <w:br w:type="page"/>
    </w:r>
    <w:p>
      <w:pPr>
        <w:pStyle w:val="Heading1"/>
        <w:spacing w:before="240" w:after="120"/>
        <w:jc w:val="center"/>
        <w:rPr>
          <w:rFonts w:ascii="Arial" w:cs="Arial" w:eastAsia="Arial" w:hAnsi="Arial"/>
          <w:b/>
          <w:bCs/>
          <w:color w:val="1B365D"/>
          <w:sz w:val="32"/>
          <w:szCs w:val="32"/>
        </w:rPr>
      </w:pPr>
      <w:r>
        <w:t xml:space="preserve">Learning Objectives</w:t>
      </w:r>
    </w:p>
    <w:p>
      <w:pPr>
        <w:spacing w:after="100" w:before="50"/>
        <w:rPr>
          <w:rFonts w:ascii="Arial" w:cs="Arial" w:eastAsia="Arial" w:hAnsi="Arial"/>
          <w:color w:val="333333"/>
          <w:sz w:val="24"/>
          <w:szCs w:val="24"/>
        </w:rPr>
      </w:pPr>
      <w:r>
        <w:t xml:space="preserve">Master LSTM architecture: forget gates, input gates, output gates, and cell state memory</w:t>
      </w:r>
    </w:p>
    <w:p>
      <w:pPr>
        <w:spacing w:after="100" w:before="50"/>
        <w:rPr>
          <w:rFonts w:ascii="Arial" w:cs="Arial" w:eastAsia="Arial" w:hAnsi="Arial"/>
          <w:color w:val="333333"/>
          <w:sz w:val="24"/>
          <w:szCs w:val="24"/>
        </w:rPr>
      </w:pPr>
      <w:r>
        <w:t xml:space="preserve">Understand bidirectional LSTMs and GRU mechanisms</w:t>
      </w:r>
    </w:p>
    <w:p>
      <w:pPr>
        <w:spacing w:after="100" w:before="50"/>
        <w:rPr>
          <w:rFonts w:ascii="Arial" w:cs="Arial" w:eastAsia="Arial" w:hAnsi="Arial"/>
          <w:color w:val="333333"/>
          <w:sz w:val="24"/>
          <w:szCs w:val="24"/>
        </w:rPr>
      </w:pPr>
      <w:r>
        <w:t xml:space="preserve">Learn Temporal Fusion Transformers for multivariate time series</w:t>
      </w:r>
    </w:p>
    <w:p>
      <w:pPr>
        <w:spacing w:after="100" w:before="50"/>
        <w:rPr>
          <w:rFonts w:ascii="Arial" w:cs="Arial" w:eastAsia="Arial" w:hAnsi="Arial"/>
          <w:color w:val="333333"/>
          <w:sz w:val="24"/>
          <w:szCs w:val="24"/>
        </w:rPr>
      </w:pPr>
      <w:r>
        <w:t xml:space="preserve">Apply attention mechanisms and positional encoding</w:t>
      </w:r>
    </w:p>
    <w:p>
      <w:pPr>
        <w:spacing w:after="100" w:before="50"/>
        <w:rPr>
          <w:rFonts w:ascii="Arial" w:cs="Arial" w:eastAsia="Arial" w:hAnsi="Arial"/>
          <w:color w:val="333333"/>
          <w:sz w:val="24"/>
          <w:szCs w:val="24"/>
        </w:rPr>
      </w:pPr>
      <w:r>
        <w:t xml:space="preserve">Implement walk-forward backtesting and purged k-fold validation</w:t>
      </w:r>
    </w:p>
    <w:p>
      <w:pPr>
        <w:spacing w:after="100" w:before="50"/>
        <w:rPr>
          <w:rFonts w:ascii="Arial" w:cs="Arial" w:eastAsia="Arial" w:hAnsi="Arial"/>
          <w:color w:val="333333"/>
          <w:sz w:val="24"/>
          <w:szCs w:val="24"/>
        </w:rPr>
      </w:pPr>
      <w:r>
        <w:t xml:space="preserve">Address non-stationarity through preprocessing</w:t>
      </w:r>
    </w:p>
    <w:p>
      <w:pPr>
        <w:spacing w:after="240"/>
      </w:pPr>
    </w:p>
    <w:p>
      <w:pPr>
        <w:pStyle w:val="Heading1"/>
        <w:spacing w:before="240" w:after="120"/>
        <w:jc w:val="center"/>
        <w:rPr>
          <w:rFonts w:ascii="Arial" w:cs="Arial" w:eastAsia="Arial" w:hAnsi="Arial"/>
          <w:b/>
          <w:bCs/>
          <w:color w:val="1B365D"/>
          <w:sz w:val="32"/>
          <w:szCs w:val="32"/>
        </w:rPr>
      </w:pPr>
      <w:r>
        <w:t xml:space="preserve">Core Concepts in Time Series Forecasting</w:t>
      </w:r>
    </w:p>
    <w:p>
      <w:pPr>
        <w:pStyle w:val="Heading2"/>
        <w:spacing w:before="160" w:after="120"/>
        <w:jc w:val="left"/>
        <w:rPr>
          <w:rFonts w:ascii="Arial" w:cs="Arial" w:eastAsia="Arial" w:hAnsi="Arial"/>
          <w:b/>
          <w:bCs/>
          <w:color w:val="1B365D"/>
          <w:sz w:val="28"/>
          <w:szCs w:val="28"/>
        </w:rPr>
      </w:pPr>
      <w:r>
        <w:t xml:space="preserve">LSTM Architecture &amp; Mechanics</w:t>
      </w:r>
    </w:p>
    <w:p>
      <w:pPr>
        <w:spacing w:after="120" w:line="360"/>
        <w:jc w:val="both"/>
        <w:rPr>
          <w:rFonts w:ascii="Arial" w:cs="Arial" w:eastAsia="Arial" w:hAnsi="Arial"/>
          <w:color w:val="333333"/>
          <w:sz w:val="24"/>
          <w:szCs w:val="24"/>
        </w:rPr>
      </w:pPr>
      <w:r>
        <w:t xml:space="preserve">Long Short-Term Memory networks solve vanishing gradient problems through sophisticated gating. The forget gate (sigmoid) discards old information; input gate (sigmoid+tanh) admits new; output gate determines hidden state. Cell state acts as memory highway allowing gradients to flow. LSTMs capture temporal dependencies in financial price movements and volatility patterns.</w:t>
      </w:r>
    </w:p>
    <w:p>
      <w:pPr>
        <w:pStyle w:val="Heading2"/>
        <w:spacing w:before="160" w:after="120"/>
        <w:jc w:val="left"/>
        <w:rPr>
          <w:rFonts w:ascii="Arial" w:cs="Arial" w:eastAsia="Arial" w:hAnsi="Arial"/>
          <w:b/>
          <w:bCs/>
          <w:color w:val="1B365D"/>
          <w:sz w:val="28"/>
          <w:szCs w:val="28"/>
        </w:rPr>
      </w:pPr>
      <w:r>
        <w:t xml:space="preserve">Bidirectional LSTMs</w:t>
      </w:r>
    </w:p>
    <w:p>
      <w:pPr>
        <w:spacing w:after="120" w:line="360"/>
        <w:jc w:val="both"/>
        <w:rPr>
          <w:rFonts w:ascii="Arial" w:cs="Arial" w:eastAsia="Arial" w:hAnsi="Arial"/>
          <w:color w:val="333333"/>
          <w:sz w:val="24"/>
          <w:szCs w:val="24"/>
        </w:rPr>
      </w:pPr>
      <w:r>
        <w:t xml:space="preserve">Process sequences forward and backward, concatenating hidden states. Enables future context usage when entire time series available. Valuable for analysis identifying market turning points. Increased dimensionality requires careful hyperparameter tuning to avoid overfitting.</w:t>
      </w:r>
    </w:p>
    <w:p>
      <w:pPr>
        <w:pStyle w:val="Heading2"/>
        <w:spacing w:before="160" w:after="120"/>
        <w:jc w:val="left"/>
        <w:rPr>
          <w:rFonts w:ascii="Arial" w:cs="Arial" w:eastAsia="Arial" w:hAnsi="Arial"/>
          <w:b/>
          <w:bCs/>
          <w:color w:val="1B365D"/>
          <w:sz w:val="28"/>
          <w:szCs w:val="28"/>
        </w:rPr>
      </w:pPr>
      <w:r>
        <w:t xml:space="preserve">GRU: Simplified Gating</w:t>
      </w:r>
    </w:p>
    <w:p>
      <w:pPr>
        <w:spacing w:after="120" w:line="360"/>
        <w:jc w:val="both"/>
        <w:rPr>
          <w:rFonts w:ascii="Arial" w:cs="Arial" w:eastAsia="Arial" w:hAnsi="Arial"/>
          <w:color w:val="333333"/>
          <w:sz w:val="24"/>
          <w:szCs w:val="24"/>
        </w:rPr>
      </w:pPr>
      <w:r>
        <w:t xml:space="preserve">Gated Recurrent Units reduce parameters (25-30% fewer than LSTM) with comparable performance. Simpler architecture with update and reset gates accelerates training. Empirically matches LSTM on forecasting with faster inference.</w:t>
      </w:r>
    </w:p>
    <w:p>
      <w:pPr>
        <w:pStyle w:val="Heading2"/>
        <w:spacing w:before="160" w:after="120"/>
        <w:jc w:val="left"/>
        <w:rPr>
          <w:rFonts w:ascii="Arial" w:cs="Arial" w:eastAsia="Arial" w:hAnsi="Arial"/>
          <w:b/>
          <w:bCs/>
          <w:color w:val="1B365D"/>
          <w:sz w:val="28"/>
          <w:szCs w:val="28"/>
        </w:rPr>
      </w:pPr>
      <w:r>
        <w:t xml:space="preserve">Temporal Fusion Transformers</w:t>
      </w:r>
    </w:p>
    <w:p>
      <w:pPr>
        <w:spacing w:after="120" w:line="360"/>
        <w:jc w:val="both"/>
        <w:rPr>
          <w:rFonts w:ascii="Arial" w:cs="Arial" w:eastAsia="Arial" w:hAnsi="Arial"/>
          <w:color w:val="333333"/>
          <w:sz w:val="24"/>
          <w:szCs w:val="24"/>
        </w:rPr>
      </w:pPr>
      <w:r>
        <w:t xml:space="preserve">Combines transformers with domain knowledge: variable selection, static covariate encoders, gated residual networks, multi-head attention, quantile outputs. Excels with hundreds of variables, provides interpretable attention.</w:t>
      </w:r>
    </w:p>
    <w:p>
      <w:pPr>
        <w:pStyle w:val="Heading2"/>
        <w:spacing w:before="160" w:after="120"/>
        <w:jc w:val="left"/>
        <w:rPr>
          <w:rFonts w:ascii="Arial" w:cs="Arial" w:eastAsia="Arial" w:hAnsi="Arial"/>
          <w:b/>
          <w:bCs/>
          <w:color w:val="1B365D"/>
          <w:sz w:val="28"/>
          <w:szCs w:val="28"/>
        </w:rPr>
      </w:pPr>
      <w:r>
        <w:t xml:space="preserve">Attention Mechanisms</w:t>
      </w:r>
    </w:p>
    <w:p>
      <w:pPr>
        <w:spacing w:after="120" w:line="360"/>
        <w:jc w:val="both"/>
        <w:rPr>
          <w:rFonts w:ascii="Arial" w:cs="Arial" w:eastAsia="Arial" w:hAnsi="Arial"/>
          <w:color w:val="333333"/>
          <w:sz w:val="24"/>
          <w:szCs w:val="24"/>
        </w:rPr>
      </w:pPr>
      <w:r>
        <w:t xml:space="preserve">Self-attention captures long-range dependencies without distance penalties. Multi-head learns different patterns simultaneously. Learned positional encodings inject temporal information. Achieves state-of-the-art performance.</w:t>
      </w:r>
    </w:p>
    <w:p>
      <w:pPr>
        <w:pStyle w:val="Heading2"/>
        <w:spacing w:before="160" w:after="120"/>
        <w:jc w:val="left"/>
        <w:rPr>
          <w:rFonts w:ascii="Arial" w:cs="Arial" w:eastAsia="Arial" w:hAnsi="Arial"/>
          <w:b/>
          <w:bCs/>
          <w:color w:val="1B365D"/>
          <w:sz w:val="28"/>
          <w:szCs w:val="28"/>
        </w:rPr>
      </w:pPr>
      <w:r>
        <w:t xml:space="preserve">Walk-Forward Validation</w:t>
      </w:r>
    </w:p>
    <w:p>
      <w:pPr>
        <w:spacing w:after="120" w:line="360"/>
        <w:jc w:val="both"/>
        <w:rPr>
          <w:rFonts w:ascii="Arial" w:cs="Arial" w:eastAsia="Arial" w:hAnsi="Arial"/>
          <w:color w:val="333333"/>
          <w:sz w:val="24"/>
          <w:szCs w:val="24"/>
        </w:rPr>
      </w:pPr>
      <w:r>
        <w:t xml:space="preserve">Train on [0,t], test on [t+1,t+h], advance and repeat. Prevents look-ahead bias matching live trading. Expanding uses all history; sliding maintains constant size. Purged k-fold adds gaps accounting for temporal dependencies.</w:t>
      </w:r>
    </w:p>
    <w:p>
      <w:pPr>
        <w:pStyle w:val="Heading1"/>
        <w:spacing w:before="240" w:after="120"/>
        <w:jc w:val="center"/>
        <w:rPr>
          <w:rFonts w:ascii="Arial" w:cs="Arial" w:eastAsia="Arial" w:hAnsi="Arial"/>
          <w:b/>
          <w:bCs/>
          <w:color w:val="1B365D"/>
          <w:sz w:val="32"/>
          <w:szCs w:val="32"/>
        </w:rPr>
      </w:pPr>
      <w:r>
        <w:t xml:space="preserve">Key Concepts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340"/>
            <w:shd w:fill="1B365D" w:val="clear"/>
            <w:tcMar>
              <w:top w:type="dxa" w:w="80"/>
              <w:left w:type="dxa" w:w="120"/>
              <w:bottom w:type="dxa" w:w="80"/>
              <w:right w:type="dxa" w:w="120"/>
            </w:tcMar>
          </w:tcPr>
          <w:p>
            <w:pPr>
              <w:rPr>
                <w:rFonts w:ascii="Arial" w:cs="Arial" w:eastAsia="Arial" w:hAnsi="Arial"/>
                <w:b/>
                <w:bCs/>
                <w:color w:val="FFFFFF"/>
                <w:sz w:val="24"/>
                <w:szCs w:val="24"/>
              </w:rPr>
            </w:pPr>
            <w:r>
              <w:t xml:space="preserve">Concept</w:t>
            </w:r>
          </w:p>
        </w:tc>
        <w:tc>
          <w:tcPr>
            <w:tcW w:type="dxa" w:w="7020"/>
            <w:shd w:fill="1B365D" w:val="clear"/>
            <w:tcMar>
              <w:top w:type="dxa" w:w="80"/>
              <w:left w:type="dxa" w:w="120"/>
              <w:bottom w:type="dxa" w:w="80"/>
              <w:right w:type="dxa" w:w="120"/>
            </w:tcMar>
          </w:tcPr>
          <w:p>
            <w:pPr>
              <w:rPr>
                <w:rFonts w:ascii="Arial" w:cs="Arial" w:eastAsia="Arial" w:hAnsi="Arial"/>
                <w:b/>
                <w:bCs/>
                <w:color w:val="FFFFFF"/>
                <w:sz w:val="24"/>
                <w:szCs w:val="24"/>
              </w:rPr>
            </w:pPr>
            <w:r>
              <w:t xml:space="preserve">Description</w:t>
            </w:r>
          </w:p>
        </w:tc>
      </w:tr>
      <w:tr>
        <w:tc>
          <w:tcPr>
            <w:tcW w:type="dxa" w:w="2340"/>
            <w:tcMar>
              <w:top w:type="dxa" w:w="80"/>
              <w:left w:type="dxa" w:w="120"/>
              <w:bottom w:type="dxa" w:w="80"/>
              <w:right w:type="dxa" w:w="120"/>
            </w:tcMar>
          </w:tcPr>
          <w:p>
            <w:pPr>
              <w:rPr>
                <w:rFonts w:ascii="Arial" w:cs="Arial" w:eastAsia="Arial" w:hAnsi="Arial"/>
                <w:b/>
                <w:bCs/>
                <w:color w:val="333333"/>
                <w:sz w:val="22"/>
                <w:szCs w:val="22"/>
              </w:rPr>
            </w:pPr>
            <w:r>
              <w:t xml:space="preserve">Forget Gate</w:t>
            </w:r>
          </w:p>
        </w:tc>
        <w:tc>
          <w:tcPr>
            <w:tcW w:type="dxa" w:w="7020"/>
            <w:tcMar>
              <w:top w:type="dxa" w:w="80"/>
              <w:left w:type="dxa" w:w="120"/>
              <w:bottom w:type="dxa" w:w="80"/>
              <w:right w:type="dxa" w:w="120"/>
            </w:tcMar>
          </w:tcPr>
          <w:p>
            <w:pPr>
              <w:rPr>
                <w:rFonts w:ascii="Arial" w:cs="Arial" w:eastAsia="Arial" w:hAnsi="Arial"/>
                <w:color w:val="333333"/>
                <w:sz w:val="22"/>
                <w:szCs w:val="22"/>
              </w:rPr>
            </w:pPr>
            <w:r>
              <w:t xml:space="preserve">Sigmoid-activated gate controlling information retention</w:t>
            </w:r>
          </w:p>
        </w:tc>
      </w:tr>
      <w:tr>
        <w:tc>
          <w:tcPr>
            <w:tcW w:type="dxa" w:w="2340"/>
            <w:tcMar>
              <w:top w:type="dxa" w:w="80"/>
              <w:left w:type="dxa" w:w="120"/>
              <w:bottom w:type="dxa" w:w="80"/>
              <w:right w:type="dxa" w:w="120"/>
            </w:tcMar>
          </w:tcPr>
          <w:p>
            <w:pPr>
              <w:rPr>
                <w:rFonts w:ascii="Arial" w:cs="Arial" w:eastAsia="Arial" w:hAnsi="Arial"/>
                <w:b/>
                <w:bCs/>
                <w:color w:val="333333"/>
                <w:sz w:val="22"/>
                <w:szCs w:val="22"/>
              </w:rPr>
            </w:pPr>
            <w:r>
              <w:t xml:space="preserve">Input Gate</w:t>
            </w:r>
          </w:p>
        </w:tc>
        <w:tc>
          <w:tcPr>
            <w:tcW w:type="dxa" w:w="7020"/>
            <w:tcMar>
              <w:top w:type="dxa" w:w="80"/>
              <w:left w:type="dxa" w:w="120"/>
              <w:bottom w:type="dxa" w:w="80"/>
              <w:right w:type="dxa" w:w="120"/>
            </w:tcMar>
          </w:tcPr>
          <w:p>
            <w:pPr>
              <w:rPr>
                <w:rFonts w:ascii="Arial" w:cs="Arial" w:eastAsia="Arial" w:hAnsi="Arial"/>
                <w:color w:val="333333"/>
                <w:sz w:val="22"/>
                <w:szCs w:val="22"/>
              </w:rPr>
            </w:pPr>
            <w:r>
              <w:t xml:space="preserve">Sigmoid gate with tanh values controlling new information entry</w:t>
            </w:r>
          </w:p>
        </w:tc>
      </w:tr>
      <w:tr>
        <w:tc>
          <w:tcPr>
            <w:tcW w:type="dxa" w:w="2340"/>
            <w:tcMar>
              <w:top w:type="dxa" w:w="80"/>
              <w:left w:type="dxa" w:w="120"/>
              <w:bottom w:type="dxa" w:w="80"/>
              <w:right w:type="dxa" w:w="120"/>
            </w:tcMar>
          </w:tcPr>
          <w:p>
            <w:pPr>
              <w:rPr>
                <w:rFonts w:ascii="Arial" w:cs="Arial" w:eastAsia="Arial" w:hAnsi="Arial"/>
                <w:b/>
                <w:bCs/>
                <w:color w:val="333333"/>
                <w:sz w:val="22"/>
                <w:szCs w:val="22"/>
              </w:rPr>
            </w:pPr>
            <w:r>
              <w:t xml:space="preserve">Cell State</w:t>
            </w:r>
          </w:p>
        </w:tc>
        <w:tc>
          <w:tcPr>
            <w:tcW w:type="dxa" w:w="7020"/>
            <w:tcMar>
              <w:top w:type="dxa" w:w="80"/>
              <w:left w:type="dxa" w:w="120"/>
              <w:bottom w:type="dxa" w:w="80"/>
              <w:right w:type="dxa" w:w="120"/>
            </w:tcMar>
          </w:tcPr>
          <w:p>
            <w:pPr>
              <w:rPr>
                <w:rFonts w:ascii="Arial" w:cs="Arial" w:eastAsia="Arial" w:hAnsi="Arial"/>
                <w:color w:val="333333"/>
                <w:sz w:val="22"/>
                <w:szCs w:val="22"/>
              </w:rPr>
            </w:pPr>
            <w:r>
              <w:t xml:space="preserve">Memory vector enabling long-sequence gradient propagation</w:t>
            </w:r>
          </w:p>
        </w:tc>
      </w:tr>
      <w:tr>
        <w:tc>
          <w:tcPr>
            <w:tcW w:type="dxa" w:w="2340"/>
            <w:tcMar>
              <w:top w:type="dxa" w:w="80"/>
              <w:left w:type="dxa" w:w="120"/>
              <w:bottom w:type="dxa" w:w="80"/>
              <w:right w:type="dxa" w:w="120"/>
            </w:tcMar>
          </w:tcPr>
          <w:p>
            <w:pPr>
              <w:rPr>
                <w:rFonts w:ascii="Arial" w:cs="Arial" w:eastAsia="Arial" w:hAnsi="Arial"/>
                <w:b/>
                <w:bCs/>
                <w:color w:val="333333"/>
                <w:sz w:val="22"/>
                <w:szCs w:val="22"/>
              </w:rPr>
            </w:pPr>
            <w:r>
              <w:t xml:space="preserve">GRU</w:t>
            </w:r>
          </w:p>
        </w:tc>
        <w:tc>
          <w:tcPr>
            <w:tcW w:type="dxa" w:w="7020"/>
            <w:tcMar>
              <w:top w:type="dxa" w:w="80"/>
              <w:left w:type="dxa" w:w="120"/>
              <w:bottom w:type="dxa" w:w="80"/>
              <w:right w:type="dxa" w:w="120"/>
            </w:tcMar>
          </w:tcPr>
          <w:p>
            <w:pPr>
              <w:rPr>
                <w:rFonts w:ascii="Arial" w:cs="Arial" w:eastAsia="Arial" w:hAnsi="Arial"/>
                <w:color w:val="333333"/>
                <w:sz w:val="22"/>
                <w:szCs w:val="22"/>
              </w:rPr>
            </w:pPr>
            <w:r>
              <w:t xml:space="preserve">Gated Recurrent Unit: simpler than LSTM</w:t>
            </w:r>
          </w:p>
        </w:tc>
      </w:tr>
      <w:tr>
        <w:tc>
          <w:tcPr>
            <w:tcW w:type="dxa" w:w="2340"/>
            <w:tcMar>
              <w:top w:type="dxa" w:w="80"/>
              <w:left w:type="dxa" w:w="120"/>
              <w:bottom w:type="dxa" w:w="80"/>
              <w:right w:type="dxa" w:w="120"/>
            </w:tcMar>
          </w:tcPr>
          <w:p>
            <w:pPr>
              <w:rPr>
                <w:rFonts w:ascii="Arial" w:cs="Arial" w:eastAsia="Arial" w:hAnsi="Arial"/>
                <w:b/>
                <w:bCs/>
                <w:color w:val="333333"/>
                <w:sz w:val="22"/>
                <w:szCs w:val="22"/>
              </w:rPr>
            </w:pPr>
            <w:r>
              <w:t xml:space="preserve">Walk-Forward</w:t>
            </w:r>
          </w:p>
        </w:tc>
        <w:tc>
          <w:tcPr>
            <w:tcW w:type="dxa" w:w="7020"/>
            <w:tcMar>
              <w:top w:type="dxa" w:w="80"/>
              <w:left w:type="dxa" w:w="120"/>
              <w:bottom w:type="dxa" w:w="80"/>
              <w:right w:type="dxa" w:w="120"/>
            </w:tcMar>
          </w:tcPr>
          <w:p>
            <w:pPr>
              <w:rPr>
                <w:rFonts w:ascii="Arial" w:cs="Arial" w:eastAsia="Arial" w:hAnsi="Arial"/>
                <w:color w:val="333333"/>
                <w:sz w:val="22"/>
                <w:szCs w:val="22"/>
              </w:rPr>
            </w:pPr>
            <w:r>
              <w:t xml:space="preserve">Backtesting preventing look-ahead bias</w:t>
            </w:r>
          </w:p>
        </w:tc>
      </w:tr>
    </w:tbl>
    <w:p>
      <w:pPr>
        <w:spacing w:after="240"/>
      </w:pPr>
    </w:p>
    <w:r>
      <w:br w:type="page"/>
    </w:r>
    <w:p>
      <w:pPr>
        <w:pStyle w:val="Heading2"/>
        <w:spacing w:before="160" w:after="120"/>
        <w:jc w:val="left"/>
        <w:rPr>
          <w:rFonts w:ascii="Arial" w:cs="Arial" w:eastAsia="Arial" w:hAnsi="Arial"/>
          <w:b/>
          <w:bCs/>
          <w:color w:val="1B365D"/>
          <w:sz w:val="28"/>
          <w:szCs w:val="28"/>
        </w:rPr>
      </w:pPr>
      <w:r>
        <w:t xml:space="preserve">PyTorch LSTM Model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5F5F5" w:val="clear"/>
            <w:tcMar>
              <w:top w:type="dxa" w:w="120"/>
              <w:left w:type="dxa" w:w="120"/>
              <w:bottom w:type="dxa" w:w="120"/>
              <w:right w:type="dxa" w:w="120"/>
            </w:tcMar>
          </w:tcPr>
          <w:p>
            <w:pPr>
              <w:rPr>
                <w:rFonts w:ascii="Consolas" w:cs="Consolas" w:eastAsia="Consolas" w:hAnsi="Consolas"/>
                <w:color w:val="333333"/>
                <w:sz w:val="20"/>
                <w:szCs w:val="20"/>
              </w:rPr>
            </w:pPr>
            <w:r>
              <w:t xml:space="preserve">import torch
import torch.nn as nn
class ForecastLSTM(nn.Module):
    def __init__(self, input_size, hidden_size, num_layers, output_size):
        super().__init__()
        self.lstm = nn.LSTM(input_size, hidden_size, num_layers, batch_first=True, dropout=0.2)
        self.fc = nn.Linear(hidden_size, output_size)
    def forward(self, x):
        lstm_out, _ = self.lstm(x)
        return self.fc(lstm_out[:, -1, :])</w:t>
            </w:r>
          </w:p>
        </w:tc>
      </w:tr>
    </w:tbl>
    <w:p>
      <w:pPr>
        <w:spacing w:after="200"/>
      </w:pPr>
    </w:p>
    <w:p>
      <w:pPr>
        <w:pStyle w:val="Heading1"/>
        <w:spacing w:before="240" w:after="120"/>
        <w:jc w:val="center"/>
        <w:rPr>
          <w:rFonts w:ascii="Arial" w:cs="Arial" w:eastAsia="Arial" w:hAnsi="Arial"/>
          <w:b/>
          <w:bCs/>
          <w:color w:val="1B365D"/>
          <w:sz w:val="32"/>
          <w:szCs w:val="32"/>
        </w:rPr>
      </w:pPr>
      <w:r>
        <w:t xml:space="preserve">References &amp; Further Reading</w:t>
      </w:r>
    </w:p>
    <w:p>
      <w:pPr>
        <w:spacing w:after="100"/>
        <w:rPr>
          <w:rFonts w:ascii="Arial" w:cs="Arial" w:eastAsia="Arial" w:hAnsi="Arial"/>
          <w:color w:val="333333"/>
          <w:sz w:val="22"/>
          <w:szCs w:val="22"/>
        </w:rPr>
      </w:pPr>
      <w:r>
        <w:t xml:space="preserve">[1] Hochreiter &amp; Schmidhuber (1997). Long short-term memory. Neural Computation.</w:t>
      </w:r>
    </w:p>
    <w:p>
      <w:pPr>
        <w:spacing w:after="100"/>
        <w:rPr>
          <w:rFonts w:ascii="Arial" w:cs="Arial" w:eastAsia="Arial" w:hAnsi="Arial"/>
          <w:color w:val="333333"/>
          <w:sz w:val="22"/>
          <w:szCs w:val="22"/>
        </w:rPr>
      </w:pPr>
      <w:r>
        <w:t xml:space="preserve">[2] Cho et al. (2014). Learning Phrase Representations with RNN. EMNLP.</w:t>
      </w:r>
    </w:p>
    <w:p>
      <w:pPr>
        <w:spacing w:after="100"/>
        <w:rPr>
          <w:rFonts w:ascii="Arial" w:cs="Arial" w:eastAsia="Arial" w:hAnsi="Arial"/>
          <w:color w:val="333333"/>
          <w:sz w:val="22"/>
          <w:szCs w:val="22"/>
        </w:rPr>
      </w:pPr>
      <w:r>
        <w:t xml:space="preserve">[3] Lim et al. (2021). Temporal Fusion Transformers for Time Series.</w:t>
      </w:r>
    </w:p>
    <w:p>
      <w:pPr>
        <w:spacing w:after="100"/>
        <w:rPr>
          <w:rFonts w:ascii="Arial" w:cs="Arial" w:eastAsia="Arial" w:hAnsi="Arial"/>
          <w:color w:val="333333"/>
          <w:sz w:val="22"/>
          <w:szCs w:val="22"/>
        </w:rPr>
      </w:pPr>
      <w:r>
        <w:t xml:space="preserve">[4] Vaswani et al. (2017). Attention Is All You Need. NIPS.</w:t>
      </w:r>
    </w:p>
    <w:p>
      <w:pPr>
        <w:spacing w:after="100"/>
        <w:rPr>
          <w:rFonts w:ascii="Arial" w:cs="Arial" w:eastAsia="Arial" w:hAnsi="Arial"/>
          <w:color w:val="333333"/>
          <w:sz w:val="22"/>
          <w:szCs w:val="22"/>
        </w:rPr>
      </w:pPr>
      <w:r>
        <w:t xml:space="preserve">[5] de Prado, M. L. (2018). Advances in Financial Machine Learning.</w:t>
      </w:r>
    </w:p>
    <w:p>
      <w:pPr>
        <w:pStyle w:val="Heading1"/>
        <w:spacing w:before="240" w:after="120"/>
        <w:jc w:val="center"/>
        <w:rPr>
          <w:rFonts w:ascii="Arial" w:cs="Arial" w:eastAsia="Arial" w:hAnsi="Arial"/>
          <w:b/>
          <w:bCs/>
          <w:color w:val="1B365D"/>
          <w:sz w:val="32"/>
          <w:szCs w:val="32"/>
        </w:rPr>
      </w:pPr>
      <w:r>
        <w:t xml:space="preserve">Preview: Next Class</w:t>
      </w:r>
    </w:p>
    <w:p>
      <w:pPr>
        <w:pStyle w:val="Heading2"/>
        <w:spacing w:before="160" w:after="120"/>
        <w:jc w:val="left"/>
        <w:rPr>
          <w:rFonts w:ascii="Arial" w:cs="Arial" w:eastAsia="Arial" w:hAnsi="Arial"/>
          <w:b/>
          <w:bCs/>
          <w:color w:val="1B365D"/>
          <w:sz w:val="28"/>
          <w:szCs w:val="28"/>
        </w:rPr>
      </w:pPr>
      <w:r>
        <w:t xml:space="preserve">Class 8: Ensemble Methods &amp; Cloud AI</w:t>
      </w:r>
    </w:p>
    <w:p>
      <w:pPr>
        <w:spacing w:after="200"/>
        <w:jc w:val="both"/>
        <w:rPr>
          <w:rFonts w:ascii="Arial" w:cs="Arial" w:eastAsia="Arial" w:hAnsi="Arial"/>
          <w:color w:val="333333"/>
          <w:sz w:val="24"/>
          <w:szCs w:val="24"/>
        </w:rPr>
      </w:pPr>
      <w:r>
        <w:t xml:space="preserve">Combine forecasting models using stacking and blending. Learn AutoML platforms. Implement probabilistic forecasting with quantile regression and conformal prediction.</w:t>
      </w:r>
    </w:p>
    <w:p>
      <w:pPr>
        <w:spacing w:after="120"/>
        <w:rPr>
          <w:rFonts w:ascii="Arial" w:cs="Arial" w:eastAsia="Arial" w:hAnsi="Arial"/>
          <w:color w:val="333333"/>
          <w:sz w:val="22"/>
          <w:szCs w:val="22"/>
        </w:rPr>
      </w:pPr>
      <w:r>
        <w:t xml:space="preserve">• Topics to prepare: Ensemble methods, AutoML, Conformal prediction, Cloud platforms</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2026-02-14T05:38:00.032Z</dcterms:created>
  <dcterms:modified xsi:type="dcterms:W3CDTF">2026-02-14T05:38:00.032Z</dcterms:modified>
</cp:coreProperties>
</file>

<file path=docProps/custom.xml><?xml version="1.0" encoding="utf-8"?>
<Properties xmlns="http://schemas.openxmlformats.org/officeDocument/2006/custom-properties" xmlns:vt="http://schemas.openxmlformats.org/officeDocument/2006/docPropsVTypes"/>
</file>