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120"/>
        <w:jc w:val="center"/>
        <w:rPr>
          <w:rFonts w:ascii="Arial" w:cs="Arial" w:eastAsia="Arial" w:hAnsi="Arial"/>
          <w:b/>
          <w:bCs/>
          <w:color w:val="1B365D"/>
          <w:sz w:val="48"/>
          <w:szCs w:val="48"/>
        </w:rPr>
      </w:pPr>
      <w:r>
        <w:t xml:space="preserve">Proxiant Academy</w:t>
      </w:r>
    </w:p>
    <w:p>
      <w:pPr>
        <w:spacing w:after="600"/>
        <w:jc w:val="center"/>
        <w:rPr>
          <w:rFonts w:ascii="Arial" w:cs="Arial" w:eastAsia="Arial" w:hAnsi="Arial"/>
          <w:i/>
          <w:iCs/>
          <w:color w:val="2E86AB"/>
          <w:sz w:val="24"/>
          <w:szCs w:val="24"/>
        </w:rPr>
      </w:pPr>
      <w:r>
        <w:t xml:space="preserve">Master AI. Professionally.</w:t>
      </w:r>
    </w:p>
    <w:p>
      <w:pPr>
        <w:spacing w:after="400"/>
        <w:jc w:val="center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AI for Finance Course</w:t>
      </w:r>
    </w:p>
    <w:p>
      <w:pPr>
        <w:spacing w:after="80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Class 9: Regulatory Compliance &amp; AML</w:t>
      </w:r>
    </w:p>
    <w:p>
      <w:pPr>
        <w:spacing w:after="1000"/>
        <w:jc w:val="center"/>
        <w:rPr>
          <w:rFonts w:ascii="Arial" w:cs="Arial" w:eastAsia="Arial" w:hAnsi="Arial"/>
          <w:i/>
          <w:iCs/>
          <w:color w:val="333333"/>
          <w:sz w:val="20"/>
          <w:szCs w:val="20"/>
        </w:rPr>
      </w:pPr>
      <w:r>
        <w:t xml:space="preserve">Comprehensive Notes &amp; Implementation Guide</w:t>
      </w:r>
    </w:p>
    <w:p>
      <w:pPr>
        <w:jc w:val="center"/>
        <w:rPr>
          <w:rFonts w:ascii="Arial" w:cs="Arial" w:eastAsia="Arial" w:hAnsi="Arial"/>
          <w:color w:val="333333"/>
          <w:sz w:val="20"/>
          <w:szCs w:val="20"/>
        </w:rPr>
      </w:pPr>
      <w:r>
        <w:t xml:space="preserve">Date: February 14, 2026</w:t>
      </w:r>
    </w:p>
    <w:r>
      <w:br w:type="page"/>
    </w:r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Learning Objectives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KYC systems with OCR and NLP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Transaction monitoring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Sanctions screening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Regulatory reporting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Explainable AI</w:t>
      </w:r>
    </w:p>
    <w:p>
      <w:pPr>
        <w:spacing w:after="100" w:before="50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SR 11-7 framework</w:t>
      </w:r>
    </w:p>
    <w:p>
      <w:pPr>
        <w:spacing w:after="240"/>
      </w:pP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Compliance &amp; AML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KYC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Know-Your-Customer requires extracting information from identity documents using OCR. NLP validates extracted entities. Entity resolution addresses duplicates from name variations. Probabilistic matching and graph-based deduplication. Risk scoring combines rules with ML models.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Transaction Monitoring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Flags suspicious activity. Rule-based systems set static thresholds. ML overlays train on labeled transactions. Features include customer lifetime statistics and behavioral patterns. Alert prioritization reduces analyst workload.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Sanctions Screening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Prevents transactions with sanctioned entities (OFAC, UN, EU). String similarity (Jaro-Winkler, Levenshtein) addresses transliteration differences. NLP with BERT embeddings. Continuous batch and event-driven monitoring.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Regulatory Reporting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Automated data extraction reduces errors. Template population maps to regulatory forms. XBRL taxonomy mapping standardizes data. Calendar management tracks deadlines. Version control creates audit trails.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Explainable AI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SHAP computes feature importance globally. LIME explains individual predictions. Model cards document purpose and limitations. Audit trail logging records decisions.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SR 11-7</w:t>
      </w:r>
    </w:p>
    <w:p>
      <w:pPr>
        <w:spacing w:after="120" w:line="36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Federal Reserve model risk framework. Model inventory by tier. Validation: conceptual soundness, outcome analysis, monitoring. Independent teams ensure objectivity.</w:t>
      </w: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Key Concepts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34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</w:pPr>
            <w:r>
              <w:t xml:space="preserve">Concept</w:t>
            </w:r>
          </w:p>
        </w:tc>
        <w:tc>
          <w:tcPr>
            <w:tcW w:type="dxa" w:w="7020"/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</w:pPr>
            <w:r>
              <w:t xml:space="preserve">Description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KYC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Know-Your-Customer identity verification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Entity Resolution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Linking records to same entity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SHAP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SHapley Additive exPlanations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Sanctions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Checking against government lists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</w:pPr>
            <w:r>
              <w:t xml:space="preserve">SR 11-7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color w:val="333333"/>
                <w:sz w:val="22"/>
                <w:szCs w:val="22"/>
              </w:rPr>
            </w:pPr>
            <w:r>
              <w:t xml:space="preserve">Model risk management framework</w:t>
            </w:r>
          </w:p>
        </w:tc>
      </w:tr>
    </w:tbl>
    <w:p>
      <w:pPr>
        <w:spacing w:after="240"/>
      </w:pPr>
    </w:p>
    <w:r>
      <w:br w:type="page"/>
    </w:r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Transaction Monitoring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rPr>
                <w:rFonts w:ascii="Consolas" w:cs="Consolas" w:eastAsia="Consolas" w:hAnsi="Consolas"/>
                <w:color w:val="333333"/>
                <w:sz w:val="20"/>
                <w:szCs w:val="20"/>
              </w:rPr>
            </w:pPr>
            <w:r>
              <w:t xml:space="preserve">import xgboost as xgb
def create_features(tx, hist):
    return {
        'amount': tx['amount'],
        'zscore': (tx['amount'] - hist['mean']) / hist['std'],
        'hour': tx['timestamp'].hour,
        'is_weekend': tx['timestamp'].weekday() &gt; 4
    }
model = xgb.XGBClassifier(n_estimators=100)
model.fit(X_train, y_train)
y_pred = model.predict_proba(X_test)[:, 1]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References &amp; Further Reading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[1] Federal Reserve SR 11-7 Guidance.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[2] Lundberg &amp; Lee (2017). SHAP. NIPS.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[3] FinCEN Resource Center.</w:t>
      </w:r>
    </w:p>
    <w:p>
      <w:pPr>
        <w:spacing w:after="10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[4] OFAC Guidelines.</w:t>
      </w:r>
    </w:p>
    <w:p>
      <w:pPr>
        <w:pStyle w:val="Heading1"/>
        <w:spacing w:before="240" w:after="120"/>
        <w:jc w:val="center"/>
        <w:rPr>
          <w:rFonts w:ascii="Arial" w:cs="Arial" w:eastAsia="Arial" w:hAnsi="Arial"/>
          <w:b/>
          <w:bCs/>
          <w:color w:val="1B365D"/>
          <w:sz w:val="32"/>
          <w:szCs w:val="32"/>
        </w:rPr>
      </w:pPr>
      <w:r>
        <w:t xml:space="preserve">Preview: Next Class</w:t>
      </w:r>
    </w:p>
    <w:p>
      <w:pPr>
        <w:pStyle w:val="Heading2"/>
        <w:spacing w:before="160" w:after="120"/>
        <w:jc w:val="left"/>
        <w:rPr>
          <w:rFonts w:ascii="Arial" w:cs="Arial" w:eastAsia="Arial" w:hAnsi="Arial"/>
          <w:b/>
          <w:bCs/>
          <w:color w:val="1B365D"/>
          <w:sz w:val="28"/>
          <w:szCs w:val="28"/>
        </w:rPr>
      </w:pPr>
      <w:r>
        <w:t xml:space="preserve">Class 10: NLP for Compliance</w:t>
      </w:r>
    </w:p>
    <w:p>
      <w:pPr>
        <w:spacing w:after="200"/>
        <w:jc w:val="both"/>
        <w:rPr>
          <w:rFonts w:ascii="Arial" w:cs="Arial" w:eastAsia="Arial" w:hAnsi="Arial"/>
          <w:color w:val="333333"/>
          <w:sz w:val="24"/>
          <w:szCs w:val="24"/>
        </w:rPr>
      </w:pPr>
      <w:r>
        <w:t xml:space="preserve">LLM fine-tuning, NER, contract analysis, RAG.</w:t>
      </w:r>
    </w:p>
    <w:p>
      <w:pPr>
        <w:spacing w:after="120"/>
        <w:rPr>
          <w:rFonts w:ascii="Arial" w:cs="Arial" w:eastAsia="Arial" w:hAnsi="Arial"/>
          <w:color w:val="333333"/>
          <w:sz w:val="22"/>
          <w:szCs w:val="22"/>
        </w:rPr>
      </w:pPr>
      <w:r>
        <w:t xml:space="preserve">• Topics to prepare: LLM fine-tuning, NER, RAG, Document classification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2026-02-14T05:38:00.075Z</dcterms:created>
  <dcterms:modified xsi:type="dcterms:W3CDTF">2026-02-14T05:38:00.075Z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