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</w:p>
    <w:p>
      <w:pPr>
        <w:spacing w:after="120"/>
        <w:jc w:val="center"/>
        <w:rPr>
          <w:rFonts w:ascii="Arial" w:cs="Arial" w:eastAsia="Arial" w:hAnsi="Arial"/>
          <w:b/>
          <w:bCs/>
          <w:color w:val="1B365D"/>
          <w:sz w:val="48"/>
          <w:szCs w:val="48"/>
        </w:rPr>
      </w:pPr>
      <w:r>
        <w:t xml:space="preserve">Proxiant Academy</w:t>
      </w:r>
    </w:p>
    <w:p>
      <w:pPr>
        <w:spacing w:after="600"/>
        <w:jc w:val="center"/>
        <w:rPr>
          <w:rFonts w:ascii="Arial" w:cs="Arial" w:eastAsia="Arial" w:hAnsi="Arial"/>
          <w:i/>
          <w:iCs/>
          <w:color w:val="2E86AB"/>
          <w:sz w:val="24"/>
          <w:szCs w:val="24"/>
        </w:rPr>
      </w:pPr>
      <w:r>
        <w:t xml:space="preserve">Master AI. Professionally.</w:t>
      </w:r>
    </w:p>
    <w:p>
      <w:pPr>
        <w:spacing w:after="400"/>
        <w:jc w:val="center"/>
        <w:rPr>
          <w:rFonts w:ascii="Arial" w:cs="Arial" w:eastAsia="Arial" w:hAnsi="Arial"/>
          <w:b/>
          <w:bCs/>
          <w:color w:val="1B365D"/>
          <w:sz w:val="28"/>
          <w:szCs w:val="28"/>
        </w:rPr>
      </w:pPr>
      <w:r>
        <w:t xml:space="preserve">AI for Finance Course</w:t>
      </w:r>
    </w:p>
    <w:p>
      <w:pPr>
        <w:spacing w:after="800"/>
        <w:jc w:val="center"/>
        <w:rPr>
          <w:rFonts w:ascii="Arial" w:cs="Arial" w:eastAsia="Arial" w:hAnsi="Arial"/>
          <w:b/>
          <w:bCs/>
          <w:color w:val="1B365D"/>
          <w:sz w:val="32"/>
          <w:szCs w:val="32"/>
        </w:rPr>
      </w:pPr>
      <w:r>
        <w:t xml:space="preserve">Class 12: Capstone Presentations &amp; Certification Review</w:t>
      </w:r>
    </w:p>
    <w:p>
      <w:pPr>
        <w:spacing w:after="1000"/>
        <w:jc w:val="center"/>
        <w:rPr>
          <w:rFonts w:ascii="Arial" w:cs="Arial" w:eastAsia="Arial" w:hAnsi="Arial"/>
          <w:i/>
          <w:iCs/>
          <w:color w:val="333333"/>
          <w:sz w:val="20"/>
          <w:szCs w:val="20"/>
        </w:rPr>
      </w:pPr>
      <w:r>
        <w:t xml:space="preserve">Comprehensive Notes &amp; Implementation Guide</w:t>
      </w:r>
    </w:p>
    <w:p>
      <w:pPr>
        <w:jc w:val="center"/>
        <w:rPr>
          <w:rFonts w:ascii="Arial" w:cs="Arial" w:eastAsia="Arial" w:hAnsi="Arial"/>
          <w:color w:val="333333"/>
          <w:sz w:val="20"/>
          <w:szCs w:val="20"/>
        </w:rPr>
      </w:pPr>
      <w:r>
        <w:t xml:space="preserve">Date: February 14, 2026</w:t>
      </w:r>
    </w:p>
    <w:r>
      <w:br w:type="page"/>
    </w:r>
    <w:p>
      <w:pPr>
        <w:pStyle w:val="Heading1"/>
        <w:spacing w:before="240" w:after="120"/>
        <w:jc w:val="center"/>
        <w:rPr>
          <w:rFonts w:ascii="Arial" w:cs="Arial" w:eastAsia="Arial" w:hAnsi="Arial"/>
          <w:b/>
          <w:bCs/>
          <w:color w:val="1B365D"/>
          <w:sz w:val="32"/>
          <w:szCs w:val="32"/>
        </w:rPr>
      </w:pPr>
      <w:r>
        <w:t xml:space="preserve">Learning Objectives</w:t>
      </w:r>
    </w:p>
    <w:p>
      <w:pPr>
        <w:spacing w:after="100" w:before="50"/>
        <w:rPr>
          <w:rFonts w:ascii="Arial" w:cs="Arial" w:eastAsia="Arial" w:hAnsi="Arial"/>
          <w:color w:val="333333"/>
          <w:sz w:val="24"/>
          <w:szCs w:val="24"/>
        </w:rPr>
      </w:pPr>
      <w:r>
        <w:t xml:space="preserve">Structure capstone projects</w:t>
      </w:r>
    </w:p>
    <w:p>
      <w:pPr>
        <w:spacing w:after="100" w:before="50"/>
        <w:rPr>
          <w:rFonts w:ascii="Arial" w:cs="Arial" w:eastAsia="Arial" w:hAnsi="Arial"/>
          <w:color w:val="333333"/>
          <w:sz w:val="24"/>
          <w:szCs w:val="24"/>
        </w:rPr>
      </w:pPr>
      <w:r>
        <w:t xml:space="preserve">Apply evaluation rubrics</w:t>
      </w:r>
    </w:p>
    <w:p>
      <w:pPr>
        <w:spacing w:after="100" w:before="50"/>
        <w:rPr>
          <w:rFonts w:ascii="Arial" w:cs="Arial" w:eastAsia="Arial" w:hAnsi="Arial"/>
          <w:color w:val="333333"/>
          <w:sz w:val="24"/>
          <w:szCs w:val="24"/>
        </w:rPr>
      </w:pPr>
      <w:r>
        <w:t xml:space="preserve">Synthesize course concepts</w:t>
      </w:r>
    </w:p>
    <w:p>
      <w:pPr>
        <w:spacing w:after="100" w:before="50"/>
        <w:rPr>
          <w:rFonts w:ascii="Arial" w:cs="Arial" w:eastAsia="Arial" w:hAnsi="Arial"/>
          <w:color w:val="333333"/>
          <w:sz w:val="24"/>
          <w:szCs w:val="24"/>
        </w:rPr>
      </w:pPr>
      <w:r>
        <w:t xml:space="preserve">Prepare for PCAP certification</w:t>
      </w:r>
    </w:p>
    <w:p>
      <w:pPr>
        <w:spacing w:after="100" w:before="50"/>
        <w:rPr>
          <w:rFonts w:ascii="Arial" w:cs="Arial" w:eastAsia="Arial" w:hAnsi="Arial"/>
          <w:color w:val="333333"/>
          <w:sz w:val="24"/>
          <w:szCs w:val="24"/>
        </w:rPr>
      </w:pPr>
      <w:r>
        <w:t xml:space="preserve">Explore career pathways</w:t>
      </w:r>
    </w:p>
    <w:p>
      <w:pPr>
        <w:spacing w:after="100" w:before="50"/>
        <w:rPr>
          <w:rFonts w:ascii="Arial" w:cs="Arial" w:eastAsia="Arial" w:hAnsi="Arial"/>
          <w:color w:val="333333"/>
          <w:sz w:val="24"/>
          <w:szCs w:val="24"/>
        </w:rPr>
      </w:pPr>
      <w:r>
        <w:t xml:space="preserve">Discuss industry trends</w:t>
      </w:r>
    </w:p>
    <w:p>
      <w:pPr>
        <w:spacing w:after="240"/>
      </w:pPr>
    </w:p>
    <w:p>
      <w:pPr>
        <w:pStyle w:val="Heading1"/>
        <w:spacing w:before="240" w:after="120"/>
        <w:jc w:val="center"/>
        <w:rPr>
          <w:rFonts w:ascii="Arial" w:cs="Arial" w:eastAsia="Arial" w:hAnsi="Arial"/>
          <w:b/>
          <w:bCs/>
          <w:color w:val="1B365D"/>
          <w:sz w:val="32"/>
          <w:szCs w:val="32"/>
        </w:rPr>
      </w:pPr>
      <w:r>
        <w:t xml:space="preserve">Capstone &amp; Career Development</w:t>
      </w:r>
    </w:p>
    <w:p>
      <w:pPr>
        <w:pStyle w:val="Heading2"/>
        <w:spacing w:before="160" w:after="120"/>
        <w:jc w:val="left"/>
        <w:rPr>
          <w:rFonts w:ascii="Arial" w:cs="Arial" w:eastAsia="Arial" w:hAnsi="Arial"/>
          <w:b/>
          <w:bCs/>
          <w:color w:val="1B365D"/>
          <w:sz w:val="28"/>
          <w:szCs w:val="28"/>
        </w:rPr>
      </w:pPr>
      <w:r>
        <w:t xml:space="preserve">Capstone Structure</w:t>
      </w:r>
    </w:p>
    <w:p>
      <w:pPr>
        <w:spacing w:after="120" w:line="360"/>
        <w:jc w:val="both"/>
        <w:rPr>
          <w:rFonts w:ascii="Arial" w:cs="Arial" w:eastAsia="Arial" w:hAnsi="Arial"/>
          <w:color w:val="333333"/>
          <w:sz w:val="24"/>
          <w:szCs w:val="24"/>
        </w:rPr>
      </w:pPr>
      <w:r>
        <w:t xml:space="preserve">Problem Statement (motivation, scope), Data Description, Methodology, Implementation, Results, Deployment Plan. 15-min presentation + 5 Q&amp;A. Emphasize results and insights.</w:t>
      </w:r>
    </w:p>
    <w:p>
      <w:pPr>
        <w:pStyle w:val="Heading2"/>
        <w:spacing w:before="160" w:after="120"/>
        <w:jc w:val="left"/>
        <w:rPr>
          <w:rFonts w:ascii="Arial" w:cs="Arial" w:eastAsia="Arial" w:hAnsi="Arial"/>
          <w:b/>
          <w:bCs/>
          <w:color w:val="1B365D"/>
          <w:sz w:val="28"/>
          <w:szCs w:val="28"/>
        </w:rPr>
      </w:pPr>
      <w:r>
        <w:t xml:space="preserve">Evaluation Rubric</w:t>
      </w:r>
    </w:p>
    <w:p>
      <w:pPr>
        <w:spacing w:after="120" w:line="360"/>
        <w:jc w:val="both"/>
        <w:rPr>
          <w:rFonts w:ascii="Arial" w:cs="Arial" w:eastAsia="Arial" w:hAnsi="Arial"/>
          <w:color w:val="333333"/>
          <w:sz w:val="24"/>
          <w:szCs w:val="24"/>
        </w:rPr>
      </w:pPr>
      <w:r>
        <w:t xml:space="preserve">Problem (15%): motivation, scope, relevance. Methodology (25%): algorithms, validation. Implementation (25%): code, reproducibility. Results (20%): improvements, analysis. Presentation (15%): clarity, defense.</w:t>
      </w:r>
    </w:p>
    <w:p>
      <w:pPr>
        <w:pStyle w:val="Heading2"/>
        <w:spacing w:before="160" w:after="120"/>
        <w:jc w:val="left"/>
        <w:rPr>
          <w:rFonts w:ascii="Arial" w:cs="Arial" w:eastAsia="Arial" w:hAnsi="Arial"/>
          <w:b/>
          <w:bCs/>
          <w:color w:val="1B365D"/>
          <w:sz w:val="28"/>
          <w:szCs w:val="28"/>
        </w:rPr>
      </w:pPr>
      <w:r>
        <w:t xml:space="preserve">Course Synthesis</w:t>
      </w:r>
    </w:p>
    <w:p>
      <w:pPr>
        <w:spacing w:after="120" w:line="360"/>
        <w:jc w:val="both"/>
        <w:rPr>
          <w:rFonts w:ascii="Arial" w:cs="Arial" w:eastAsia="Arial" w:hAnsi="Arial"/>
          <w:color w:val="333333"/>
          <w:sz w:val="24"/>
          <w:szCs w:val="24"/>
        </w:rPr>
      </w:pPr>
      <w:r>
        <w:t xml:space="preserve">Risk Analysis (1-6) → Forecasting (7-8) → Compliance (9-10) → MLOps (11). Capstone integrates all three pillars: mathematicians understand algorithms, engineers build systems, compliance validates.</w:t>
      </w:r>
    </w:p>
    <w:p>
      <w:pPr>
        <w:pStyle w:val="Heading2"/>
        <w:spacing w:before="160" w:after="120"/>
        <w:jc w:val="left"/>
        <w:rPr>
          <w:rFonts w:ascii="Arial" w:cs="Arial" w:eastAsia="Arial" w:hAnsi="Arial"/>
          <w:b/>
          <w:bCs/>
          <w:color w:val="1B365D"/>
          <w:sz w:val="28"/>
          <w:szCs w:val="28"/>
        </w:rPr>
      </w:pPr>
      <w:r>
        <w:t xml:space="preserve">PCAP Certification</w:t>
      </w:r>
    </w:p>
    <w:p>
      <w:pPr>
        <w:spacing w:after="120" w:line="360"/>
        <w:jc w:val="both"/>
        <w:rPr>
          <w:rFonts w:ascii="Arial" w:cs="Arial" w:eastAsia="Arial" w:hAnsi="Arial"/>
          <w:color w:val="333333"/>
          <w:sz w:val="24"/>
          <w:szCs w:val="24"/>
        </w:rPr>
      </w:pPr>
      <w:r>
        <w:t xml:space="preserve">100 multiple-choice, 3 hours, 70% pass. Valid 3 years. Topics: Foundations 15%, Risk 25%, Forecasting 20%, Compliance 20%, MLOps 20%. Scenario-based practical questions.</w:t>
      </w:r>
    </w:p>
    <w:p>
      <w:pPr>
        <w:pStyle w:val="Heading2"/>
        <w:spacing w:before="160" w:after="120"/>
        <w:jc w:val="left"/>
        <w:rPr>
          <w:rFonts w:ascii="Arial" w:cs="Arial" w:eastAsia="Arial" w:hAnsi="Arial"/>
          <w:b/>
          <w:bCs/>
          <w:color w:val="1B365D"/>
          <w:sz w:val="28"/>
          <w:szCs w:val="28"/>
        </w:rPr>
      </w:pPr>
      <w:r>
        <w:t xml:space="preserve">Exam Preparation</w:t>
      </w:r>
    </w:p>
    <w:p>
      <w:pPr>
        <w:spacing w:after="120" w:line="360"/>
        <w:jc w:val="both"/>
        <w:rPr>
          <w:rFonts w:ascii="Arial" w:cs="Arial" w:eastAsia="Arial" w:hAnsi="Arial"/>
          <w:color w:val="333333"/>
          <w:sz w:val="24"/>
          <w:szCs w:val="24"/>
        </w:rPr>
      </w:pPr>
      <w:r>
        <w:t xml:space="preserve">Review notes, solve practice problems, flashcards, timed practice exams. 1.8 min/question. Answer confident first, return to difficult. Avoid pitfalls: misreading, miscalculating.</w:t>
      </w:r>
    </w:p>
    <w:p>
      <w:pPr>
        <w:pStyle w:val="Heading2"/>
        <w:spacing w:before="160" w:after="120"/>
        <w:jc w:val="left"/>
        <w:rPr>
          <w:rFonts w:ascii="Arial" w:cs="Arial" w:eastAsia="Arial" w:hAnsi="Arial"/>
          <w:b/>
          <w:bCs/>
          <w:color w:val="1B365D"/>
          <w:sz w:val="28"/>
          <w:szCs w:val="28"/>
        </w:rPr>
      </w:pPr>
      <w:r>
        <w:t xml:space="preserve">Career Pathways</w:t>
      </w:r>
    </w:p>
    <w:p>
      <w:pPr>
        <w:spacing w:after="120" w:line="360"/>
        <w:jc w:val="both"/>
        <w:rPr>
          <w:rFonts w:ascii="Arial" w:cs="Arial" w:eastAsia="Arial" w:hAnsi="Arial"/>
          <w:color w:val="333333"/>
          <w:sz w:val="24"/>
          <w:szCs w:val="24"/>
        </w:rPr>
      </w:pPr>
      <w:r>
        <w:t xml:space="preserve">Quant Researcher (trading models), ML Engineer (deployment), AI Risk Officer (governance), RegTech Specialist (compliance), Chief AI Officer (strategy). Each emphasizes different skills.</w:t>
      </w:r>
    </w:p>
    <w:p>
      <w:pPr>
        <w:pStyle w:val="Heading2"/>
        <w:spacing w:before="160" w:after="120"/>
        <w:jc w:val="left"/>
        <w:rPr>
          <w:rFonts w:ascii="Arial" w:cs="Arial" w:eastAsia="Arial" w:hAnsi="Arial"/>
          <w:b/>
          <w:bCs/>
          <w:color w:val="1B365D"/>
          <w:sz w:val="28"/>
          <w:szCs w:val="28"/>
        </w:rPr>
      </w:pPr>
      <w:r>
        <w:t xml:space="preserve">Industry Trends</w:t>
      </w:r>
    </w:p>
    <w:p>
      <w:pPr>
        <w:spacing w:after="120" w:line="360"/>
        <w:jc w:val="both"/>
        <w:rPr>
          <w:rFonts w:ascii="Arial" w:cs="Arial" w:eastAsia="Arial" w:hAnsi="Arial"/>
          <w:color w:val="333333"/>
          <w:sz w:val="24"/>
          <w:szCs w:val="24"/>
        </w:rPr>
      </w:pPr>
      <w:r>
        <w:t xml:space="preserve">GenAI: LLMs analyzing documents. Quantum: optimization and sampling (5-10y+). Embedded AI: real-time. Regulation: EU AI Act, US frameworks. Banks prepare for audits.</w:t>
      </w:r>
    </w:p>
    <w:p>
      <w:pPr>
        <w:pStyle w:val="Heading1"/>
        <w:spacing w:before="240" w:after="120"/>
        <w:jc w:val="center"/>
        <w:rPr>
          <w:rFonts w:ascii="Arial" w:cs="Arial" w:eastAsia="Arial" w:hAnsi="Arial"/>
          <w:b/>
          <w:bCs/>
          <w:color w:val="1B365D"/>
          <w:sz w:val="32"/>
          <w:szCs w:val="32"/>
        </w:rPr>
      </w:pPr>
      <w:r>
        <w:t xml:space="preserve">Key Concepts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340"/>
            <w:shd w:fill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</w:pPr>
            <w:r>
              <w:t xml:space="preserve">Concept</w:t>
            </w:r>
          </w:p>
        </w:tc>
        <w:tc>
          <w:tcPr>
            <w:tcW w:type="dxa" w:w="7020"/>
            <w:shd w:fill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</w:pPr>
            <w:r>
              <w:t xml:space="preserve">Description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</w:pPr>
            <w:r>
              <w:t xml:space="preserve">Problem</w:t>
            </w:r>
          </w:p>
        </w:tc>
        <w:tc>
          <w:tcPr>
            <w:tcW w:type="dxa" w:w="70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Clear business motivation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</w:pPr>
            <w:r>
              <w:t xml:space="preserve">Methodology</w:t>
            </w:r>
          </w:p>
        </w:tc>
        <w:tc>
          <w:tcPr>
            <w:tcW w:type="dxa" w:w="70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Algorithm choice and validation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</w:pPr>
            <w:r>
              <w:t xml:space="preserve">Baseline</w:t>
            </w:r>
          </w:p>
        </w:tc>
        <w:tc>
          <w:tcPr>
            <w:tcW w:type="dxa" w:w="70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Benchmark for comparison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</w:pPr>
            <w:r>
              <w:t xml:space="preserve">PCAP</w:t>
            </w:r>
          </w:p>
        </w:tc>
        <w:tc>
          <w:tcPr>
            <w:tcW w:type="dxa" w:w="70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100-question certification</w:t>
            </w:r>
          </w:p>
        </w:tc>
      </w:tr>
      <w:t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</w:pPr>
            <w:r>
              <w:t xml:space="preserve">RegTech</w:t>
            </w:r>
          </w:p>
        </w:tc>
        <w:tc>
          <w:tcPr>
            <w:tcW w:type="dxa" w:w="702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Compliance automation</w:t>
            </w:r>
          </w:p>
        </w:tc>
      </w:tr>
    </w:tbl>
    <w:p>
      <w:pPr>
        <w:spacing w:after="240"/>
      </w:pPr>
    </w:p>
    <w:r>
      <w:br w:type="page"/>
    </w:r>
    <w:p>
      <w:pPr>
        <w:pStyle w:val="Heading2"/>
        <w:spacing w:before="160" w:after="100"/>
        <w:rPr>
          <w:rFonts w:ascii="Arial" w:cs="Arial" w:eastAsia="Arial" w:hAnsi="Arial"/>
          <w:b/>
          <w:bCs/>
          <w:color w:val="1B365D"/>
          <w:sz w:val="28"/>
          <w:szCs w:val="28"/>
        </w:rPr>
      </w:pPr>
      <w:r>
        <w:t xml:space="preserve">Exam Topic Distribution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744"/>
            <w:shd w:fill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</w:pPr>
            <w:r>
              <w:t xml:space="preserve">Topic</w:t>
            </w:r>
          </w:p>
        </w:tc>
        <w:tc>
          <w:tcPr>
            <w:tcW w:type="dxa" w:w="1872"/>
            <w:shd w:fill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</w:pPr>
            <w:r>
              <w:t xml:space="preserve">%</w:t>
            </w:r>
          </w:p>
        </w:tc>
        <w:tc>
          <w:tcPr>
            <w:tcW w:type="dxa" w:w="1872"/>
            <w:shd w:fill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</w:pPr>
            <w:r>
              <w:t xml:space="preserve">Q</w:t>
            </w:r>
          </w:p>
        </w:tc>
        <w:tc>
          <w:tcPr>
            <w:tcW w:type="dxa" w:w="1872"/>
            <w:shd w:fill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</w:pPr>
            <w:r>
              <w:t xml:space="preserve">Classes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Foundations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15%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15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1-3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Risk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25%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25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2,4-6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Forecasting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20%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20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7-8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Compliance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20%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20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9-10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MLOps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20%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20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rPr>
                <w:rFonts w:ascii="Arial" w:cs="Arial" w:eastAsia="Arial" w:hAnsi="Arial"/>
                <w:color w:val="333333"/>
                <w:sz w:val="22"/>
                <w:szCs w:val="22"/>
              </w:rPr>
            </w:pPr>
            <w:r>
              <w:t xml:space="preserve">11</w:t>
            </w:r>
          </w:p>
        </w:tc>
      </w:tr>
    </w:tbl>
    <w:p>
      <w:pPr>
        <w:pStyle w:val="Heading1"/>
        <w:spacing w:before="240" w:after="120"/>
        <w:jc w:val="center"/>
        <w:rPr>
          <w:rFonts w:ascii="Arial" w:cs="Arial" w:eastAsia="Arial" w:hAnsi="Arial"/>
          <w:b/>
          <w:bCs/>
          <w:color w:val="1B365D"/>
          <w:sz w:val="32"/>
          <w:szCs w:val="32"/>
        </w:rPr>
      </w:pPr>
      <w:r>
        <w:t xml:space="preserve">References &amp; Further Reading</w:t>
      </w:r>
    </w:p>
    <w:p>
      <w:pPr>
        <w:spacing w:after="100"/>
        <w:rPr>
          <w:rFonts w:ascii="Arial" w:cs="Arial" w:eastAsia="Arial" w:hAnsi="Arial"/>
          <w:color w:val="333333"/>
          <w:sz w:val="22"/>
          <w:szCs w:val="22"/>
        </w:rPr>
      </w:pPr>
      <w:r>
        <w:t xml:space="preserve">[1] McKinsey AI Survey 2024.</w:t>
      </w:r>
    </w:p>
    <w:p>
      <w:pPr>
        <w:spacing w:after="100"/>
        <w:rPr>
          <w:rFonts w:ascii="Arial" w:cs="Arial" w:eastAsia="Arial" w:hAnsi="Arial"/>
          <w:color w:val="333333"/>
          <w:sz w:val="22"/>
          <w:szCs w:val="22"/>
        </w:rPr>
      </w:pPr>
      <w:r>
        <w:t xml:space="preserve">[2] MIT Sloan: AI in Finance.</w:t>
      </w:r>
    </w:p>
    <w:p>
      <w:pPr>
        <w:spacing w:after="100"/>
        <w:rPr>
          <w:rFonts w:ascii="Arial" w:cs="Arial" w:eastAsia="Arial" w:hAnsi="Arial"/>
          <w:color w:val="333333"/>
          <w:sz w:val="22"/>
          <w:szCs w:val="22"/>
        </w:rPr>
      </w:pPr>
      <w:r>
        <w:t xml:space="preserve">[3] EU AI Act.</w:t>
      </w:r>
    </w:p>
    <w:p>
      <w:pPr>
        <w:spacing w:after="100"/>
        <w:rPr>
          <w:rFonts w:ascii="Arial" w:cs="Arial" w:eastAsia="Arial" w:hAnsi="Arial"/>
          <w:color w:val="333333"/>
          <w:sz w:val="22"/>
          <w:szCs w:val="22"/>
        </w:rPr>
      </w:pPr>
      <w:r>
        <w:t xml:space="preserve">[4] Board of Governors AI Framework.</w:t>
      </w:r>
    </w:p>
    <w:p>
      <w:pPr>
        <w:spacing w:after="100"/>
        <w:rPr>
          <w:rFonts w:ascii="Arial" w:cs="Arial" w:eastAsia="Arial" w:hAnsi="Arial"/>
          <w:color w:val="333333"/>
          <w:sz w:val="22"/>
          <w:szCs w:val="22"/>
        </w:rPr>
      </w:pPr>
      <w:r>
        <w:t xml:space="preserve">[5] Quantum Computing in Finance.</w:t>
      </w:r>
    </w:p>
    <w:p>
      <w:pPr>
        <w:spacing w:after="100"/>
        <w:rPr>
          <w:rFonts w:ascii="Arial" w:cs="Arial" w:eastAsia="Arial" w:hAnsi="Arial"/>
          <w:color w:val="333333"/>
          <w:sz w:val="22"/>
          <w:szCs w:val="22"/>
        </w:rPr>
      </w:pPr>
      <w:r>
        <w:t xml:space="preserve">[6] Generative AI in Finance.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2026-02-14T05:38:00.104Z</dcterms:created>
  <dcterms:modified xsi:type="dcterms:W3CDTF">2026-02-14T05:38:00.104Z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