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1</w:t>
      </w:r>
    </w:p>
    <w:p>
      <w:pPr>
        <w:spacing w:after="240"/>
        <w:jc w:val="center"/>
      </w:pPr>
      <w:r>
        <w:t xml:space="preserve">AI Finance Landscape</w:t>
      </w:r>
    </w:p>
    <w:p>
      <w:pPr>
        <w:spacing w:after="1200"/>
        <w:jc w:val="center"/>
      </w:pPr>
      <w:r>
        <w:t xml:space="preserve">Solutions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 xml:space="preserve">www.proxiant.com</w:t>
      </w:r>
    </w:p>
    <w:r>
      <w:br w:type="page"/>
    </w:r>
    <w:p>
      <w:pPr>
        <w:spacing w:before="180" w:after="100"/>
      </w:pPr>
      <w:r>
        <w:t xml:space="preserve">Exercise 1: Cloud SDK Setup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ML Algorithm Classification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Platform Comparison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Ethical AI Cases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ROI Estimation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2026-02-14T05:41:46.386Z</dcterms:created>
  <dcterms:modified xsi:type="dcterms:W3CDTF">2026-02-14T05:41:46.386Z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