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3</w:t>
      </w:r>
    </w:p>
    <w:p>
      <w:pPr>
        <w:spacing w:after="240"/>
        <w:jc w:val="center"/>
      </w:pPr>
      <w:r>
        <w:t xml:space="preserve">Credit Risk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XGBoost PD Model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PD model on 100k loans.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100k records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Imbalance handling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Hyperparameter tune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AUC evaluation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Model card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scale_pos_weight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Early stop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Stratified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Model and metrics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SHAP Analysis</w:t>
      </w:r>
    </w:p>
    <w:p>
      <w:pPr>
        <w:spacing w:line="360" w:lineRule="auto"/>
      </w:pPr>
      <w:r>
        <w:t xml:space="preserve">Difficulty: Intermediate | Time: 75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Interpret with SHAP values.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SHAP values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Summary plot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Dependence plot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Explanations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 bias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Tree SHAP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Waterfall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Correlations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SHAP analysis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Scorecard vs XGBoost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Compare LR and XGBoost.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LR scorecard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Performance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Business sim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Pros/cons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Recommend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WOE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KS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Stability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Comparison report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Hyperparameter Tuning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Tune XGBoost with Bayesian opt.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Objective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50 trials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Monitor overfit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Best params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Hold-out test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Baseline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Ranges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Splits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Tuning analysis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Basel III Metrics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Calculate Basel validation.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PD/LGD/EAD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Capital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Backtesting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CVAR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Compliance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IRB formula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CIs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Regulations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Basel report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2026-02-14T05:41:46.418Z</dcterms:created>
  <dcterms:modified xsi:type="dcterms:W3CDTF">2026-02-14T05:41:46.418Z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