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4</w:t>
      </w:r>
    </w:p>
    <w:p>
      <w:pPr>
        <w:spacing w:after="240"/>
        <w:jc w:val="center"/>
      </w:pPr>
      <w:r>
        <w:t xml:space="preserve">Market Risk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Monte Carlo VaR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MC VaR for portfolio.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20-stock portfolio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Lognormal fit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10k paths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P&amp;L distribution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VaR/CVaR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Historical params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Model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Percentile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VaR analysis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NN Option Pricing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Train NN to price options.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100k BS prices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3-layer NN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 curves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Unseen ranges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Speed benchmark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Normalization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Adam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American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Trained model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RL Portfolio Env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Gym environment.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State space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Action space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Reward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Baselines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Normalized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Costs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Returns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Environment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Factor Models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Compare factor models.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FF3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Custom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Loadings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Stability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R-squared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French data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Technical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Rolling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Comparison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Tail Risk EVT</w:t>
      </w:r>
    </w:p>
    <w:p>
      <w:pPr>
        <w:spacing w:line="360" w:lineRule="auto"/>
      </w:pPr>
      <w:r>
        <w:t xml:space="preserve">Difficulty: Advanced | Time: 110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Model tail risk with EVT.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10-year returns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Tail threshold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GPD fit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99.9% VaR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Compare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Shape param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Threshold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Rare events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Tail analysis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2026-02-14T05:41:46.429Z</dcterms:created>
  <dcterms:modified xsi:type="dcterms:W3CDTF">2026-02-14T05:41:46.429Z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