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10</w:t>
      </w:r>
    </w:p>
    <w:p>
      <w:pPr>
        <w:spacing w:after="240"/>
        <w:jc w:val="center"/>
      </w:pPr>
      <w:r>
        <w:t xml:space="preserve">NLP Compliance</w:t>
      </w:r>
    </w:p>
    <w:p>
      <w:pPr>
        <w:spacing w:after="1200"/>
        <w:jc w:val="center"/>
      </w:pPr>
      <w:r>
        <w:t xml:space="preserve">Solutions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 xml:space="preserve">www.proxiant.com</w:t>
      </w:r>
    </w:p>
    <w:r>
      <w:br w:type="page"/>
    </w:r>
    <w:p>
      <w:pPr>
        <w:spacing w:before="180" w:after="100"/>
      </w:pPr>
      <w:r>
        <w:t xml:space="preserve">Exercise 1: LoRA Fine-tune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NER Pipeline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RAG System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Contract Extract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Regulatory Classifier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2026-02-14T05:41:46.507Z</dcterms:created>
  <dcterms:modified xsi:type="dcterms:W3CDTF">2026-02-14T05:41:46.507Z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