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2: End-to-End Credit Risk Model</w:t>
      </w:r>
    </w:p>
    <w:p>
      <w:pPr>
        <w:pStyle w:val="Heading2"/>
        <w:spacing w:after="200"/>
      </w:pPr>
      <w:r>
        <w:t xml:space="preserve">Project Overview</w:t>
      </w:r>
    </w:p>
    <w:p>
      <w:pPr>
        <w:spacing w:after="200"/>
      </w:pPr>
      <w:r>
        <w:t xml:space="preserve">Build complete PD (Probability of Default) model using XGBoost on Lending Club-style dataset. Full pipeline: data prep, feature engineering, model training, SHAP analysis, Basel validation metrics.</w:t>
      </w:r>
    </w:p>
    <w:p>
      <w:pPr>
        <w:pStyle w:val="Heading2"/>
        <w:spacing w:after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 production-grade credit risk model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comprehensive feature engineering pipeline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regulatory validation metrics (Basel III)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Generate SHAP explanations for model interpretability</w:t>
      </w:r>
    </w:p>
    <w:p>
      <w:pPr>
        <w:pStyle w:val="Heading2"/>
        <w:spacing w:after="200"/>
      </w:pPr>
      <w:r>
        <w:t xml:space="preserve">Technical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Lending Club dataset (historical loans)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XGBoost, SHAP, scikit-learn libraries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Understanding of Basel III regulatory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validation and quality assessment tools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SQL knowledge for data pipeline (optional)</w:t>
      </w:r>
    </w:p>
    <w:p>
      <w:pPr>
        <w:pStyle w:val="Heading2"/>
        <w:spacing w:after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notebook (8-10 pages) with complete implementation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Validation report with regulatory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SHAP analysis visualizations and insights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performance report (AUC, KS statistic, Gini coefficient)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Engineering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Innovative features with strong predictive power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Well-selected features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features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Development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Tuned XGBoost with cross-validation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XGBoost model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model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&amp; Compliance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Basel validation with stress testing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validation coverage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validation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Interpretability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Comprehensive SHAP analysis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SHAP visualizations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SHAP output</w:t>
            </w:r>
          </w:p>
        </w:tc>
      </w:tr>
    </w:tbl>
    <w:p>
      <w:pPr>
        <w:pStyle w:val="Heading2"/>
        <w:spacing w:before="200" w:after="200"/>
      </w:pPr>
      <w:r>
        <w:t xml:space="preserve">Submission Guidelines</w:t>
      </w:r>
    </w:p>
    <w:p>
      <w:pPr>
        <w:spacing w:after="200"/>
      </w:pPr>
      <w:r>
        <w:t xml:space="preserve">Submit all deliverables as a single ZIP file containing: Jupyter notebooks with all code and outputs, any supporting documentation or reports, and a README with instructions for running code. Naming convention: Week2_End-to-End_Credit_Risk_Model_YourName.zip</w:t>
      </w:r>
    </w:p>
    <w:p>
      <w:pPr>
        <w:spacing w:before="3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2026-02-14T05:36:59.353Z</dcterms:created>
  <dcterms:modified xsi:type="dcterms:W3CDTF">2026-02-14T05:36:59.353Z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