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Proxiant Academy — AI for Finance</w:t>
      </w:r>
    </w:p>
    <w:p>
      <w:pPr>
        <w:pStyle w:val="Heading1"/>
        <w:spacing w:after="240"/>
      </w:pPr>
      <w:r>
        <w:t xml:space="preserve">Week 2: End-to-End Credit Risk Model — Solution</w:t>
      </w:r>
    </w:p>
    <w:p>
      <w:pPr>
        <w:pStyle w:val="Heading2"/>
        <w:spacing w:after="200"/>
      </w:pPr>
      <w:r>
        <w:t xml:space="preserve">Solution Overview</w:t>
      </w:r>
    </w:p>
    <w:p>
      <w:pPr>
        <w:spacing w:after="200"/>
      </w:pPr>
      <w:r>
        <w:t xml:space="preserve">This document provides the complete solution to Week 2's project. Study this solution to understand best practices and production considerations.</w:t>
      </w:r>
    </w:p>
    <w:p>
      <w:pPr>
        <w:pStyle w:val="Heading2"/>
        <w:spacing w:after="200"/>
      </w:pPr>
      <w:r>
        <w:t xml:space="preserve">Key Implementation Areas</w:t>
      </w:r>
    </w:p>
    <w:p>
      <w:pPr>
        <w:pStyle w:val="ListParagraph"/>
        <w:numPr>
          <w:ilvl w:val="0"/>
          <w:numId w:val="1"/>
        </w:numPr>
        <w:spacing w:after="100"/>
      </w:pPr>
      <w:r>
        <w:t xml:space="preserve">Feature Engineering: Innovative features with strong predictive power</w:t>
      </w:r>
    </w:p>
    <w:p>
      <w:pPr>
        <w:pStyle w:val="ListParagraph"/>
        <w:numPr>
          <w:ilvl w:val="0"/>
          <w:numId w:val="1"/>
        </w:numPr>
        <w:spacing w:after="100"/>
      </w:pPr>
      <w:r>
        <w:t xml:space="preserve">Model Development: Tuned XGBoost with cross-validation</w:t>
      </w:r>
    </w:p>
    <w:p>
      <w:pPr>
        <w:pStyle w:val="ListParagraph"/>
        <w:numPr>
          <w:ilvl w:val="0"/>
          <w:numId w:val="1"/>
        </w:numPr>
        <w:spacing w:after="100"/>
      </w:pPr>
      <w:r>
        <w:t xml:space="preserve">Validation &amp; Compliance: Complete Basel validation with stress testing</w:t>
      </w:r>
    </w:p>
    <w:p>
      <w:pPr>
        <w:pStyle w:val="ListParagraph"/>
        <w:numPr>
          <w:ilvl w:val="0"/>
          <w:numId w:val="1"/>
        </w:numPr>
        <w:spacing w:after="100"/>
      </w:pPr>
      <w:r>
        <w:t xml:space="preserve">Interpretability: Comprehensive SHAP analysis</w:t>
      </w:r>
    </w:p>
    <w:p>
      <w:pPr>
        <w:pStyle w:val="Heading2"/>
        <w:spacing w:before="200" w:after="200"/>
      </w:pPr>
      <w:r>
        <w:t xml:space="preserve">Discussion Points</w:t>
      </w:r>
    </w:p>
    <w:p>
      <w:pPr>
        <w:spacing w:after="200"/>
      </w:pPr>
      <w:r>
        <w:t xml:space="preserve">The main challenge in this project is balancing accuracy with operational constraints. In practice, models must be interpretable for business stakeholders, robust to data drift, deployable within infrastructure constraints, and auditable for regulatory compliance.</w:t>
      </w:r>
    </w:p>
    <w:p>
      <w:pPr>
        <w:pStyle w:val="Heading2"/>
        <w:spacing w:after="200"/>
      </w:pPr>
      <w:r>
        <w:t xml:space="preserve">Production Considerations</w:t>
      </w:r>
    </w:p>
    <w:p>
      <w:pPr>
        <w:spacing w:after="200"/>
      </w:pPr>
      <w:r>
        <w:t xml:space="preserve">Future improvements could include: Integration with real-time data sources; A/B testing of model variants; Automated retraining pipeline; Extended monitoring and alerting; Expansion to additional use cases; Cloud deployment with containerization; Compliance audit trails with SHAP explanations.</w:t>
      </w:r>
    </w:p>
    <w:p>
      <w:pPr>
        <w:spacing w:before="300"/>
      </w:pPr>
    </w:p>
    <w:p>
      <w:pPr>
        <w:jc w:val="center"/>
      </w:pPr>
      <w:r>
        <w:t xml:space="preserve">www.proxiant.com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2026-02-14T05:36:59.362Z</dcterms:created>
  <dcterms:modified xsi:type="dcterms:W3CDTF">2026-02-14T05:36:59.362Z</dcterms:modified>
</cp:coreProperties>
</file>

<file path=docProps/custom.xml><?xml version="1.0" encoding="utf-8"?>
<Properties xmlns="http://schemas.openxmlformats.org/officeDocument/2006/custom-properties" xmlns:vt="http://schemas.openxmlformats.org/officeDocument/2006/docPropsVTypes"/>
</file>